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302292DC">
      <w:pPr>
        <w:adjustRightInd w:val="0"/>
        <w:snapToGrid w:val="0"/>
        <w:spacing w:line="440" w:lineRule="exact"/>
        <w:ind w:firstLine="640" w:firstLineChars="20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二〇二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bCs/>
          <w:sz w:val="32"/>
          <w:szCs w:val="32"/>
        </w:rPr>
        <w:t>年</w:t>
      </w:r>
    </w:p>
    <w:p w14:paraId="59276872">
      <w:pPr>
        <w:adjustRightInd w:val="0"/>
        <w:snapToGrid w:val="0"/>
        <w:spacing w:line="440" w:lineRule="exact"/>
        <w:ind w:firstLine="720" w:firstLineChars="200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张家港市生态环境质量状况公报</w:t>
      </w:r>
    </w:p>
    <w:p w14:paraId="7A3CF5D8">
      <w:pPr>
        <w:adjustRightInd w:val="0"/>
        <w:snapToGrid w:val="0"/>
        <w:spacing w:line="440" w:lineRule="exact"/>
        <w:ind w:firstLine="560" w:firstLineChars="200"/>
        <w:rPr>
          <w:rFonts w:ascii="黑体" w:hAnsi="黑体" w:eastAsia="黑体"/>
          <w:snapToGrid w:val="0"/>
          <w:kern w:val="0"/>
          <w:sz w:val="28"/>
          <w:szCs w:val="28"/>
        </w:rPr>
      </w:pPr>
    </w:p>
    <w:p w14:paraId="4E513572">
      <w:pPr>
        <w:adjustRightInd w:val="0"/>
        <w:snapToGrid w:val="0"/>
        <w:spacing w:line="440" w:lineRule="exact"/>
        <w:ind w:firstLine="560" w:firstLineChars="200"/>
        <w:rPr>
          <w:rFonts w:ascii="黑体" w:hAnsi="黑体" w:eastAsia="黑体"/>
          <w:snapToGrid w:val="0"/>
          <w:kern w:val="0"/>
          <w:sz w:val="28"/>
          <w:szCs w:val="28"/>
        </w:rPr>
      </w:pPr>
      <w:r>
        <w:rPr>
          <w:rFonts w:hint="eastAsia" w:ascii="黑体" w:hAnsi="黑体" w:eastAsia="黑体"/>
          <w:snapToGrid w:val="0"/>
          <w:kern w:val="0"/>
          <w:sz w:val="28"/>
          <w:szCs w:val="28"/>
        </w:rPr>
        <w:t>一、环境空气</w:t>
      </w:r>
      <w:r>
        <w:rPr>
          <w:rFonts w:hint="eastAsia" w:ascii="黑体" w:hAnsi="黑体" w:eastAsia="黑体"/>
          <w:bCs/>
          <w:sz w:val="28"/>
          <w:szCs w:val="28"/>
        </w:rPr>
        <w:t>质量</w:t>
      </w:r>
    </w:p>
    <w:p w14:paraId="73BA8141">
      <w:pPr>
        <w:autoSpaceDE w:val="0"/>
        <w:autoSpaceDN w:val="0"/>
        <w:adjustRightInd w:val="0"/>
        <w:snapToGrid w:val="0"/>
        <w:spacing w:line="440" w:lineRule="exact"/>
        <w:ind w:firstLine="527"/>
        <w:jc w:val="left"/>
        <w:rPr>
          <w:rFonts w:hAnsi="仿宋"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20</w:t>
      </w:r>
      <w:r>
        <w:rPr>
          <w:rFonts w:hint="eastAsia" w:hAnsi="仿宋" w:eastAsia="仿宋"/>
          <w:sz w:val="28"/>
          <w:szCs w:val="28"/>
        </w:rPr>
        <w:t>2</w:t>
      </w:r>
      <w:r>
        <w:rPr>
          <w:rFonts w:hint="eastAsia" w:hAnsi="仿宋" w:eastAsia="仿宋"/>
          <w:sz w:val="28"/>
          <w:szCs w:val="28"/>
          <w:lang w:val="en-US" w:eastAsia="zh-CN"/>
        </w:rPr>
        <w:t>4</w:t>
      </w:r>
      <w:r>
        <w:rPr>
          <w:rFonts w:hint="eastAsia" w:hAnsi="仿宋" w:eastAsia="仿宋"/>
          <w:sz w:val="28"/>
          <w:szCs w:val="28"/>
        </w:rPr>
        <w:t>年，城区空气质量二</w:t>
      </w:r>
      <w:r>
        <w:rPr>
          <w:rFonts w:hint="eastAsia" w:eastAsia="仿宋"/>
          <w:sz w:val="28"/>
        </w:rPr>
        <w:t>氧化硫、二氧化氮、一氧化碳、可吸入颗粒物</w:t>
      </w:r>
      <w:r>
        <w:rPr>
          <w:rFonts w:hint="eastAsia" w:eastAsia="仿宋"/>
          <w:sz w:val="28"/>
          <w:lang w:eastAsia="zh-CN"/>
        </w:rPr>
        <w:t>和</w:t>
      </w:r>
      <w:r>
        <w:rPr>
          <w:rFonts w:hint="eastAsia" w:eastAsia="仿宋"/>
          <w:sz w:val="28"/>
        </w:rPr>
        <w:t>臭氧</w:t>
      </w:r>
      <w:r>
        <w:rPr>
          <w:rFonts w:hint="eastAsia" w:eastAsia="仿宋"/>
          <w:sz w:val="28"/>
          <w:lang w:eastAsia="zh-CN"/>
        </w:rPr>
        <w:t>均达标，</w:t>
      </w:r>
      <w:r>
        <w:rPr>
          <w:rFonts w:hint="eastAsia" w:hAnsi="仿宋" w:eastAsia="仿宋"/>
          <w:sz w:val="28"/>
          <w:szCs w:val="28"/>
          <w:lang w:eastAsia="zh-CN"/>
        </w:rPr>
        <w:t>细颗粒物年均值达标、特定百分位数未达标</w:t>
      </w:r>
      <w:r>
        <w:rPr>
          <w:rFonts w:hint="eastAsia" w:hAnsi="仿宋" w:eastAsia="仿宋"/>
          <w:sz w:val="28"/>
          <w:szCs w:val="28"/>
        </w:rPr>
        <w:t>。</w:t>
      </w:r>
    </w:p>
    <w:p w14:paraId="12F2B24A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hAnsi="仿宋" w:eastAsia="仿宋"/>
          <w:sz w:val="28"/>
          <w:szCs w:val="28"/>
        </w:rPr>
      </w:pPr>
      <w:r>
        <w:rPr>
          <w:rFonts w:ascii="黑体" w:hAnsi="黑体" w:eastAsia="黑体"/>
          <w:bCs/>
          <w:sz w:val="32"/>
          <w:szCs w:val="32"/>
        </w:rPr>
        <w:pict>
          <v:shape id="_x0000_s1029" o:spid="_x0000_s1029" o:spt="202" type="#_x0000_t202" style="position:absolute;left:0pt;flip:y;margin-left:44.35pt;margin-top:228pt;height:19.95pt;width:174pt;z-index:251661312;mso-width-relative:margin;mso-height-relative:margin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 w14:paraId="60F9B175">
                  <w:pPr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备注：图中一氧化碳浓度单位为毫克</w:t>
                  </w:r>
                  <w:r>
                    <w:rPr>
                      <w:sz w:val="15"/>
                      <w:szCs w:val="15"/>
                    </w:rPr>
                    <w:t>/</w:t>
                  </w:r>
                  <w:r>
                    <w:rPr>
                      <w:rFonts w:hint="eastAsia"/>
                      <w:sz w:val="15"/>
                      <w:szCs w:val="15"/>
                    </w:rPr>
                    <w:t>立方米。</w:t>
                  </w:r>
                </w:p>
              </w:txbxContent>
            </v:textbox>
          </v:shape>
        </w:pict>
      </w:r>
      <w:r>
        <w:t xml:space="preserve"> </w:t>
      </w:r>
      <w:r>
        <w:drawing>
          <wp:inline distT="0" distB="0" distL="114300" distR="114300">
            <wp:extent cx="5514340" cy="2637790"/>
            <wp:effectExtent l="0" t="0" r="10160" b="1016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86808B2">
      <w:pPr>
        <w:autoSpaceDE w:val="0"/>
        <w:autoSpaceDN w:val="0"/>
        <w:adjustRightInd w:val="0"/>
        <w:snapToGrid w:val="0"/>
        <w:spacing w:line="240" w:lineRule="exact"/>
        <w:jc w:val="center"/>
        <w:rPr>
          <w:rFonts w:hAnsi="仿宋" w:eastAsia="仿宋"/>
          <w:sz w:val="28"/>
          <w:szCs w:val="28"/>
        </w:rPr>
      </w:pPr>
    </w:p>
    <w:p w14:paraId="55CF8AA5">
      <w:pPr>
        <w:autoSpaceDE w:val="0"/>
        <w:autoSpaceDN w:val="0"/>
        <w:adjustRightInd w:val="0"/>
        <w:snapToGrid w:val="0"/>
        <w:spacing w:line="440" w:lineRule="exact"/>
        <w:ind w:firstLine="525"/>
        <w:jc w:val="left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全年优1</w:t>
      </w:r>
      <w:r>
        <w:rPr>
          <w:rFonts w:hint="eastAsia" w:hAnsi="仿宋" w:eastAsia="仿宋"/>
          <w:sz w:val="28"/>
          <w:szCs w:val="28"/>
          <w:lang w:val="en-US" w:eastAsia="zh-CN"/>
        </w:rPr>
        <w:t>3</w:t>
      </w:r>
      <w:r>
        <w:rPr>
          <w:rFonts w:hAnsi="仿宋" w:eastAsia="仿宋"/>
          <w:sz w:val="28"/>
          <w:szCs w:val="28"/>
        </w:rPr>
        <w:t>5</w:t>
      </w:r>
      <w:r>
        <w:rPr>
          <w:rFonts w:hint="eastAsia" w:hAnsi="仿宋" w:eastAsia="仿宋"/>
          <w:sz w:val="28"/>
          <w:szCs w:val="28"/>
        </w:rPr>
        <w:t>天，良1</w:t>
      </w:r>
      <w:r>
        <w:rPr>
          <w:rFonts w:hAnsi="仿宋" w:eastAsia="仿宋"/>
          <w:sz w:val="28"/>
          <w:szCs w:val="28"/>
        </w:rPr>
        <w:t>8</w:t>
      </w:r>
      <w:r>
        <w:rPr>
          <w:rFonts w:hint="eastAsia" w:hAnsi="仿宋" w:eastAsia="仿宋"/>
          <w:sz w:val="28"/>
          <w:szCs w:val="28"/>
          <w:lang w:val="en-US" w:eastAsia="zh-CN"/>
        </w:rPr>
        <w:t>0</w:t>
      </w:r>
      <w:r>
        <w:rPr>
          <w:rFonts w:hint="eastAsia" w:hAnsi="仿宋" w:eastAsia="仿宋"/>
          <w:sz w:val="28"/>
          <w:szCs w:val="28"/>
        </w:rPr>
        <w:t>天，优良率为8</w:t>
      </w:r>
      <w:r>
        <w:rPr>
          <w:rFonts w:hint="eastAsia" w:hAnsi="仿宋" w:eastAsia="仿宋"/>
          <w:sz w:val="28"/>
          <w:szCs w:val="28"/>
          <w:lang w:val="en-US" w:eastAsia="zh-CN"/>
        </w:rPr>
        <w:t>6.1</w:t>
      </w:r>
      <w:r>
        <w:rPr>
          <w:rFonts w:hAnsi="仿宋" w:eastAsia="仿宋"/>
          <w:sz w:val="28"/>
          <w:szCs w:val="28"/>
        </w:rPr>
        <w:t>%，</w:t>
      </w:r>
      <w:r>
        <w:rPr>
          <w:rFonts w:hint="eastAsia" w:eastAsia="仿宋"/>
          <w:sz w:val="28"/>
          <w:lang w:eastAsia="zh-CN"/>
        </w:rPr>
        <w:t>较</w:t>
      </w:r>
      <w:r>
        <w:rPr>
          <w:rFonts w:hint="eastAsia" w:eastAsia="仿宋"/>
          <w:sz w:val="28"/>
        </w:rPr>
        <w:t>上年</w:t>
      </w:r>
      <w:r>
        <w:rPr>
          <w:rFonts w:hint="eastAsia" w:eastAsia="仿宋"/>
          <w:sz w:val="28"/>
          <w:lang w:eastAsia="zh-CN"/>
        </w:rPr>
        <w:t>提高</w:t>
      </w:r>
      <w:r>
        <w:rPr>
          <w:rFonts w:hint="eastAsia" w:eastAsia="仿宋"/>
          <w:sz w:val="28"/>
          <w:lang w:val="en-US" w:eastAsia="zh-CN"/>
        </w:rPr>
        <w:t>3.6</w:t>
      </w:r>
      <w:r>
        <w:rPr>
          <w:rFonts w:hint="eastAsia" w:hAnsi="仿宋" w:eastAsia="仿宋"/>
          <w:sz w:val="28"/>
          <w:szCs w:val="28"/>
        </w:rPr>
        <w:t>%。</w:t>
      </w:r>
      <w:r>
        <w:rPr>
          <w:rFonts w:hint="eastAsia" w:eastAsia="仿宋"/>
          <w:color w:val="auto"/>
          <w:sz w:val="28"/>
          <w:szCs w:val="28"/>
        </w:rPr>
        <w:t>环境空气质量综合指数为</w:t>
      </w:r>
      <w:r>
        <w:rPr>
          <w:rFonts w:hint="default" w:eastAsia="仿宋"/>
          <w:color w:val="auto"/>
          <w:sz w:val="28"/>
          <w:szCs w:val="28"/>
          <w:lang w:val="en-US"/>
        </w:rPr>
        <w:t>4.1</w:t>
      </w:r>
      <w:r>
        <w:rPr>
          <w:rFonts w:hint="eastAsia" w:eastAsia="仿宋"/>
          <w:color w:val="auto"/>
          <w:sz w:val="28"/>
          <w:szCs w:val="28"/>
          <w:lang w:val="en-US" w:eastAsia="zh-CN"/>
        </w:rPr>
        <w:t>0</w:t>
      </w:r>
      <w:r>
        <w:rPr>
          <w:rFonts w:hint="eastAsia" w:eastAsia="仿宋"/>
          <w:color w:val="auto"/>
          <w:sz w:val="28"/>
          <w:szCs w:val="28"/>
        </w:rPr>
        <w:t>，</w:t>
      </w:r>
      <w:r>
        <w:rPr>
          <w:rFonts w:hint="eastAsia" w:eastAsia="仿宋"/>
          <w:color w:val="auto"/>
          <w:sz w:val="28"/>
        </w:rPr>
        <w:t>较上</w:t>
      </w:r>
      <w:r>
        <w:rPr>
          <w:rFonts w:hint="eastAsia" w:eastAsia="仿宋"/>
          <w:color w:val="auto"/>
          <w:sz w:val="28"/>
          <w:lang w:eastAsia="zh-CN"/>
        </w:rPr>
        <w:t>年下降</w:t>
      </w:r>
      <w:r>
        <w:rPr>
          <w:rFonts w:hint="eastAsia" w:eastAsia="仿宋"/>
          <w:color w:val="auto"/>
          <w:sz w:val="28"/>
          <w:lang w:val="en-US" w:eastAsia="zh-CN"/>
        </w:rPr>
        <w:t>1.9</w:t>
      </w:r>
      <w:r>
        <w:rPr>
          <w:rFonts w:hint="eastAsia" w:eastAsia="仿宋"/>
          <w:color w:val="auto"/>
          <w:sz w:val="28"/>
        </w:rPr>
        <w:t>%</w:t>
      </w:r>
      <w:r>
        <w:rPr>
          <w:rFonts w:hint="eastAsia" w:eastAsia="仿宋"/>
          <w:color w:val="auto"/>
          <w:sz w:val="28"/>
          <w:lang w:eastAsia="zh-CN"/>
        </w:rPr>
        <w:t>，</w:t>
      </w:r>
      <w:r>
        <w:rPr>
          <w:rFonts w:hint="eastAsia" w:eastAsia="仿宋"/>
          <w:color w:val="auto"/>
          <w:sz w:val="28"/>
        </w:rPr>
        <w:t>其中</w:t>
      </w:r>
      <w:r>
        <w:rPr>
          <w:rFonts w:hint="eastAsia" w:eastAsia="仿宋"/>
          <w:color w:val="auto"/>
          <w:sz w:val="28"/>
          <w:szCs w:val="28"/>
        </w:rPr>
        <w:t>二</w:t>
      </w:r>
      <w:r>
        <w:rPr>
          <w:rFonts w:hint="eastAsia" w:eastAsia="仿宋"/>
          <w:color w:val="auto"/>
          <w:sz w:val="28"/>
        </w:rPr>
        <w:t>氧化硫、</w:t>
      </w:r>
      <w:r>
        <w:rPr>
          <w:rFonts w:hint="eastAsia" w:eastAsia="仿宋"/>
          <w:color w:val="auto"/>
          <w:sz w:val="28"/>
          <w:lang w:val="en-US" w:eastAsia="zh-CN"/>
        </w:rPr>
        <w:t>二氧化氮、</w:t>
      </w:r>
      <w:r>
        <w:rPr>
          <w:rFonts w:hint="eastAsia" w:eastAsia="仿宋"/>
          <w:color w:val="auto"/>
          <w:sz w:val="28"/>
        </w:rPr>
        <w:t>可吸入</w:t>
      </w:r>
      <w:r>
        <w:rPr>
          <w:rFonts w:hAnsi="仿宋" w:eastAsia="仿宋"/>
          <w:color w:val="auto"/>
          <w:sz w:val="28"/>
        </w:rPr>
        <w:t>颗粒物</w:t>
      </w:r>
      <w:r>
        <w:rPr>
          <w:rFonts w:hint="eastAsia" w:hAnsi="仿宋" w:eastAsia="仿宋"/>
          <w:color w:val="auto"/>
          <w:sz w:val="28"/>
        </w:rPr>
        <w:t>、</w:t>
      </w:r>
      <w:r>
        <w:rPr>
          <w:rFonts w:hint="eastAsia" w:hAnsi="仿宋" w:eastAsia="仿宋"/>
          <w:color w:val="auto"/>
          <w:sz w:val="28"/>
          <w:lang w:eastAsia="zh-CN"/>
        </w:rPr>
        <w:t>一氧化碳、臭氧</w:t>
      </w:r>
      <w:r>
        <w:rPr>
          <w:rFonts w:hAnsi="仿宋" w:eastAsia="仿宋"/>
          <w:color w:val="auto"/>
          <w:sz w:val="28"/>
        </w:rPr>
        <w:t>单项质量指数较上年</w:t>
      </w:r>
      <w:r>
        <w:rPr>
          <w:rFonts w:hint="eastAsia" w:hAnsi="仿宋" w:eastAsia="仿宋"/>
          <w:color w:val="auto"/>
          <w:sz w:val="28"/>
          <w:lang w:eastAsia="zh-CN"/>
        </w:rPr>
        <w:t>均下降</w:t>
      </w:r>
      <w:r>
        <w:rPr>
          <w:rFonts w:hint="eastAsia" w:hAnsi="仿宋" w:eastAsia="仿宋"/>
          <w:color w:val="auto"/>
          <w:sz w:val="28"/>
          <w:lang w:val="en-US" w:eastAsia="zh-CN"/>
        </w:rPr>
        <w:t>，细颗粒物单项指数较上年上升12.1%，</w:t>
      </w:r>
      <w:r>
        <w:rPr>
          <w:rFonts w:hint="eastAsia" w:hAnsi="仿宋" w:eastAsia="仿宋"/>
          <w:sz w:val="28"/>
          <w:szCs w:val="28"/>
        </w:rPr>
        <w:t>城区空气质量总体基本稳定。</w:t>
      </w:r>
    </w:p>
    <w:p w14:paraId="1A896974">
      <w:pPr>
        <w:pStyle w:val="2"/>
        <w:ind w:firstLine="0" w:firstLineChars="0"/>
      </w:pPr>
      <w:r>
        <w:drawing>
          <wp:inline distT="0" distB="0" distL="114300" distR="114300">
            <wp:extent cx="4775200" cy="2505075"/>
            <wp:effectExtent l="0" t="0" r="6350" b="9525"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/>
        <w:br w:type="textWrapping" w:clear="all"/>
      </w:r>
      <w:r>
        <w:drawing>
          <wp:inline distT="0" distB="0" distL="114300" distR="114300">
            <wp:extent cx="4343400" cy="2586990"/>
            <wp:effectExtent l="0" t="0" r="0" b="3810"/>
            <wp:docPr id="10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A6E7B02">
      <w:pPr>
        <w:adjustRightInd w:val="0"/>
        <w:snapToGrid w:val="0"/>
        <w:spacing w:line="44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20</w:t>
      </w:r>
      <w:r>
        <w:rPr>
          <w:rFonts w:hint="eastAsia" w:hAnsi="仿宋" w:eastAsia="仿宋"/>
          <w:sz w:val="28"/>
          <w:szCs w:val="28"/>
        </w:rPr>
        <w:t>2</w:t>
      </w:r>
      <w:r>
        <w:rPr>
          <w:rFonts w:hint="eastAsia" w:hAnsi="仿宋" w:eastAsia="仿宋"/>
          <w:sz w:val="28"/>
          <w:szCs w:val="28"/>
          <w:lang w:val="en-US" w:eastAsia="zh-CN"/>
        </w:rPr>
        <w:t>4</w:t>
      </w:r>
      <w:r>
        <w:rPr>
          <w:rFonts w:hint="eastAsia" w:hAnsi="仿宋" w:eastAsia="仿宋"/>
          <w:sz w:val="28"/>
          <w:szCs w:val="28"/>
        </w:rPr>
        <w:t>年，降尘年均值</w:t>
      </w:r>
      <w:r>
        <w:rPr>
          <w:rFonts w:hint="eastAsia" w:eastAsia="仿宋"/>
          <w:sz w:val="28"/>
          <w:szCs w:val="28"/>
        </w:rPr>
        <w:t>为</w:t>
      </w:r>
      <w:r>
        <w:rPr>
          <w:rFonts w:hint="eastAsia" w:eastAsia="仿宋"/>
          <w:sz w:val="28"/>
          <w:szCs w:val="28"/>
          <w:lang w:val="en-US" w:eastAsia="zh-CN"/>
        </w:rPr>
        <w:t>1.8</w:t>
      </w:r>
      <w:r>
        <w:rPr>
          <w:rFonts w:hint="eastAsia" w:eastAsia="仿宋"/>
          <w:sz w:val="28"/>
          <w:szCs w:val="28"/>
        </w:rPr>
        <w:t>吨</w:t>
      </w:r>
      <w:r>
        <w:rPr>
          <w:rFonts w:eastAsia="仿宋"/>
          <w:sz w:val="28"/>
          <w:szCs w:val="28"/>
        </w:rPr>
        <w:t>/</w:t>
      </w:r>
      <w:r>
        <w:rPr>
          <w:rFonts w:hint="eastAsia" w:eastAsia="仿宋"/>
          <w:sz w:val="28"/>
          <w:szCs w:val="28"/>
        </w:rPr>
        <w:t>（平方公里·月），达到</w:t>
      </w:r>
      <w:r>
        <w:rPr>
          <w:rFonts w:hint="eastAsia" w:eastAsia="仿宋"/>
          <w:sz w:val="28"/>
        </w:rPr>
        <w:t>《苏州</w:t>
      </w:r>
      <w:r>
        <w:rPr>
          <w:rFonts w:eastAsia="仿宋"/>
          <w:sz w:val="28"/>
        </w:rPr>
        <w:t>市</w:t>
      </w:r>
      <w:r>
        <w:rPr>
          <w:rFonts w:hint="eastAsia" w:eastAsia="仿宋"/>
          <w:sz w:val="28"/>
        </w:rPr>
        <w:t>202</w:t>
      </w:r>
      <w:r>
        <w:rPr>
          <w:rFonts w:hint="eastAsia" w:eastAsia="仿宋"/>
          <w:sz w:val="28"/>
          <w:lang w:val="en-US" w:eastAsia="zh-CN"/>
        </w:rPr>
        <w:t>4</w:t>
      </w:r>
      <w:r>
        <w:rPr>
          <w:rFonts w:hint="eastAsia" w:eastAsia="仿宋"/>
          <w:sz w:val="28"/>
        </w:rPr>
        <w:t>年大气污染防治工作计划》中的考核要求</w:t>
      </w:r>
      <w:r>
        <w:rPr>
          <w:rFonts w:hint="eastAsia" w:eastAsia="仿宋"/>
          <w:sz w:val="28"/>
          <w:szCs w:val="28"/>
        </w:rPr>
        <w:t>（2.</w:t>
      </w:r>
      <w:r>
        <w:rPr>
          <w:rFonts w:eastAsia="仿宋"/>
          <w:sz w:val="28"/>
          <w:szCs w:val="28"/>
        </w:rPr>
        <w:t>0</w:t>
      </w:r>
      <w:r>
        <w:rPr>
          <w:rFonts w:hint="eastAsia" w:eastAsia="仿宋"/>
          <w:sz w:val="28"/>
          <w:szCs w:val="28"/>
        </w:rPr>
        <w:t>吨/平方公里·月）</w:t>
      </w:r>
      <w:r>
        <w:rPr>
          <w:rFonts w:hint="eastAsia" w:hAnsi="仿宋" w:eastAsia="仿宋"/>
          <w:sz w:val="28"/>
          <w:szCs w:val="28"/>
        </w:rPr>
        <w:t>。降水</w:t>
      </w:r>
      <w:r>
        <w:rPr>
          <w:rFonts w:hAnsi="仿宋" w:eastAsia="仿宋"/>
          <w:sz w:val="28"/>
          <w:szCs w:val="28"/>
        </w:rPr>
        <w:t>pH</w:t>
      </w:r>
      <w:r>
        <w:rPr>
          <w:rFonts w:hint="eastAsia" w:hAnsi="仿宋" w:eastAsia="仿宋"/>
          <w:sz w:val="28"/>
          <w:szCs w:val="28"/>
        </w:rPr>
        <w:t>均值为</w:t>
      </w:r>
      <w:r>
        <w:rPr>
          <w:rFonts w:hAnsi="仿宋" w:eastAsia="仿宋"/>
          <w:sz w:val="28"/>
          <w:szCs w:val="28"/>
        </w:rPr>
        <w:t>5</w:t>
      </w:r>
      <w:r>
        <w:rPr>
          <w:rFonts w:hint="eastAsia" w:hAnsi="仿宋" w:eastAsia="仿宋"/>
          <w:sz w:val="28"/>
          <w:szCs w:val="28"/>
        </w:rPr>
        <w:t>.</w:t>
      </w:r>
      <w:r>
        <w:rPr>
          <w:rFonts w:hint="eastAsia" w:hAnsi="仿宋" w:eastAsia="仿宋"/>
          <w:sz w:val="28"/>
          <w:szCs w:val="28"/>
          <w:lang w:val="en-US" w:eastAsia="zh-CN"/>
        </w:rPr>
        <w:t>66</w:t>
      </w:r>
      <w:r>
        <w:rPr>
          <w:rFonts w:hint="eastAsia" w:hAnsi="仿宋" w:eastAsia="仿宋"/>
          <w:sz w:val="28"/>
          <w:szCs w:val="28"/>
        </w:rPr>
        <w:t>，酸雨出现频率为</w:t>
      </w:r>
      <w:r>
        <w:rPr>
          <w:rFonts w:hint="eastAsia" w:hAnsi="仿宋" w:eastAsia="仿宋"/>
          <w:sz w:val="28"/>
          <w:szCs w:val="28"/>
          <w:lang w:val="en-US" w:eastAsia="zh-CN"/>
        </w:rPr>
        <w:t>24.7</w:t>
      </w:r>
      <w:r>
        <w:rPr>
          <w:rFonts w:hAnsi="仿宋" w:eastAsia="仿宋"/>
          <w:sz w:val="28"/>
          <w:szCs w:val="28"/>
        </w:rPr>
        <w:t>%</w:t>
      </w:r>
      <w:r>
        <w:rPr>
          <w:rFonts w:hint="eastAsia" w:hAnsi="仿宋" w:eastAsia="仿宋"/>
          <w:sz w:val="28"/>
          <w:szCs w:val="28"/>
        </w:rPr>
        <w:t>，</w:t>
      </w:r>
      <w:r>
        <w:rPr>
          <w:rFonts w:hint="eastAsia" w:eastAsia="仿宋"/>
          <w:sz w:val="28"/>
          <w:szCs w:val="28"/>
        </w:rPr>
        <w:t>较上年上升</w:t>
      </w:r>
      <w:r>
        <w:rPr>
          <w:rFonts w:hint="eastAsia" w:eastAsia="仿宋"/>
          <w:sz w:val="28"/>
          <w:lang w:val="en-US" w:eastAsia="zh-CN"/>
        </w:rPr>
        <w:t>6.4</w:t>
      </w:r>
      <w:r>
        <w:rPr>
          <w:rFonts w:hint="eastAsia" w:eastAsia="仿宋"/>
          <w:sz w:val="28"/>
        </w:rPr>
        <w:t>个百分点</w:t>
      </w:r>
      <w:r>
        <w:rPr>
          <w:rFonts w:hint="eastAsia" w:eastAsia="仿宋"/>
          <w:sz w:val="28"/>
          <w:szCs w:val="28"/>
        </w:rPr>
        <w:t>。</w:t>
      </w:r>
    </w:p>
    <w:p w14:paraId="7A68DB80">
      <w:pPr>
        <w:autoSpaceDE w:val="0"/>
        <w:autoSpaceDN w:val="0"/>
        <w:adjustRightInd w:val="0"/>
        <w:snapToGrid w:val="0"/>
        <w:spacing w:line="440" w:lineRule="exact"/>
        <w:ind w:firstLine="560" w:firstLineChars="200"/>
        <w:jc w:val="left"/>
        <w:rPr>
          <w:rFonts w:ascii="黑体" w:hAnsi="黑体" w:eastAsia="黑体"/>
          <w:snapToGrid w:val="0"/>
          <w:kern w:val="0"/>
          <w:sz w:val="28"/>
          <w:szCs w:val="28"/>
        </w:rPr>
      </w:pPr>
      <w:r>
        <w:rPr>
          <w:rFonts w:hint="eastAsia" w:ascii="黑体" w:hAnsi="黑体" w:eastAsia="黑体"/>
          <w:snapToGrid w:val="0"/>
          <w:kern w:val="0"/>
          <w:sz w:val="28"/>
          <w:szCs w:val="28"/>
        </w:rPr>
        <w:t>二、饮用水源地水质</w:t>
      </w:r>
    </w:p>
    <w:p w14:paraId="62F91AC2">
      <w:pPr>
        <w:adjustRightInd w:val="0"/>
        <w:snapToGrid w:val="0"/>
        <w:spacing w:line="440" w:lineRule="exact"/>
        <w:ind w:firstLine="560" w:firstLineChars="200"/>
        <w:rPr>
          <w:rFonts w:hint="eastAsia" w:ascii="Times New Roman" w:hAnsi="仿宋" w:eastAsia="仿宋" w:cs="Times New Roman"/>
          <w:bCs/>
          <w:sz w:val="28"/>
          <w:szCs w:val="28"/>
          <w:lang w:eastAsia="zh-CN"/>
        </w:rPr>
      </w:pPr>
      <w:r>
        <w:rPr>
          <w:rFonts w:hint="eastAsia" w:eastAsia="仿宋"/>
          <w:snapToGrid w:val="0"/>
          <w:kern w:val="0"/>
          <w:sz w:val="28"/>
        </w:rPr>
        <w:t>202</w:t>
      </w:r>
      <w:r>
        <w:rPr>
          <w:rFonts w:hint="eastAsia" w:eastAsia="仿宋"/>
          <w:snapToGrid w:val="0"/>
          <w:kern w:val="0"/>
          <w:sz w:val="28"/>
          <w:lang w:val="en-US" w:eastAsia="zh-CN"/>
        </w:rPr>
        <w:t>4</w:t>
      </w:r>
      <w:r>
        <w:rPr>
          <w:rFonts w:hint="eastAsia" w:eastAsia="仿宋"/>
          <w:snapToGrid w:val="0"/>
          <w:kern w:val="0"/>
          <w:sz w:val="28"/>
        </w:rPr>
        <w:t>年，张家港市长江饮用水源地、新港桥备用水源地及各水源地保护区水质指标均达到《地表水环境质量标准》（</w:t>
      </w:r>
      <w:r>
        <w:rPr>
          <w:rFonts w:eastAsia="仿宋"/>
          <w:snapToGrid w:val="0"/>
          <w:kern w:val="0"/>
          <w:sz w:val="28"/>
        </w:rPr>
        <w:t>GB3838-2002</w:t>
      </w:r>
      <w:r>
        <w:rPr>
          <w:rFonts w:hint="eastAsia" w:eastAsia="仿宋"/>
          <w:snapToGrid w:val="0"/>
          <w:kern w:val="0"/>
          <w:sz w:val="28"/>
        </w:rPr>
        <w:t>）表</w:t>
      </w:r>
      <w:r>
        <w:rPr>
          <w:rFonts w:eastAsia="仿宋"/>
          <w:snapToGrid w:val="0"/>
          <w:kern w:val="0"/>
          <w:sz w:val="28"/>
        </w:rPr>
        <w:t xml:space="preserve">1 </w:t>
      </w:r>
      <w:r>
        <w:rPr>
          <w:rFonts w:hint="eastAsia" w:ascii="宋体" w:hAnsi="宋体"/>
          <w:snapToGrid w:val="0"/>
          <w:kern w:val="0"/>
          <w:sz w:val="28"/>
        </w:rPr>
        <w:t>Ⅱ</w:t>
      </w:r>
      <w:r>
        <w:rPr>
          <w:rFonts w:hint="eastAsia" w:eastAsia="仿宋"/>
          <w:snapToGrid w:val="0"/>
          <w:kern w:val="0"/>
          <w:sz w:val="28"/>
        </w:rPr>
        <w:t>类标准和表</w:t>
      </w:r>
      <w:r>
        <w:rPr>
          <w:rFonts w:eastAsia="仿宋"/>
          <w:snapToGrid w:val="0"/>
          <w:kern w:val="0"/>
          <w:sz w:val="28"/>
        </w:rPr>
        <w:t>2</w:t>
      </w:r>
      <w:r>
        <w:rPr>
          <w:rFonts w:hint="eastAsia" w:eastAsia="仿宋"/>
          <w:snapToGrid w:val="0"/>
          <w:kern w:val="0"/>
          <w:sz w:val="28"/>
        </w:rPr>
        <w:t>、表</w:t>
      </w:r>
      <w:r>
        <w:rPr>
          <w:rFonts w:eastAsia="仿宋"/>
          <w:snapToGrid w:val="0"/>
          <w:kern w:val="0"/>
          <w:sz w:val="28"/>
        </w:rPr>
        <w:t>3</w:t>
      </w:r>
      <w:r>
        <w:rPr>
          <w:rFonts w:hint="eastAsia" w:eastAsia="仿宋"/>
          <w:snapToGrid w:val="0"/>
          <w:kern w:val="0"/>
          <w:sz w:val="28"/>
        </w:rPr>
        <w:t>标准限值，均为</w:t>
      </w:r>
      <w:r>
        <w:rPr>
          <w:rFonts w:hint="eastAsia" w:ascii="宋体" w:hAnsi="宋体"/>
          <w:snapToGrid w:val="0"/>
          <w:kern w:val="0"/>
          <w:sz w:val="28"/>
        </w:rPr>
        <w:t>Ⅱ</w:t>
      </w:r>
      <w:r>
        <w:rPr>
          <w:rFonts w:hint="eastAsia" w:eastAsia="仿宋"/>
          <w:snapToGrid w:val="0"/>
          <w:kern w:val="0"/>
          <w:sz w:val="28"/>
        </w:rPr>
        <w:t>类水质，水质状况优</w:t>
      </w:r>
      <w:r>
        <w:rPr>
          <w:rFonts w:hint="eastAsia" w:eastAsia="仿宋"/>
          <w:snapToGrid w:val="0"/>
          <w:kern w:val="0"/>
          <w:sz w:val="28"/>
          <w:lang w:eastAsia="zh-CN"/>
        </w:rPr>
        <w:t>；</w:t>
      </w:r>
      <w:r>
        <w:rPr>
          <w:rFonts w:hint="eastAsia" w:hAnsi="仿宋" w:eastAsia="仿宋"/>
          <w:bCs/>
          <w:sz w:val="28"/>
          <w:szCs w:val="28"/>
        </w:rPr>
        <w:t>双山岛</w:t>
      </w:r>
      <w:r>
        <w:rPr>
          <w:rFonts w:hint="eastAsia" w:hAnsi="仿宋" w:eastAsia="仿宋"/>
          <w:bCs/>
          <w:sz w:val="28"/>
          <w:szCs w:val="28"/>
          <w:lang w:eastAsia="zh-CN"/>
        </w:rPr>
        <w:t>农村</w:t>
      </w:r>
      <w:r>
        <w:rPr>
          <w:rFonts w:hint="eastAsia" w:hAnsi="仿宋" w:eastAsia="仿宋"/>
          <w:bCs/>
          <w:sz w:val="28"/>
          <w:szCs w:val="28"/>
        </w:rPr>
        <w:t>饮用水源地</w:t>
      </w:r>
      <w:r>
        <w:rPr>
          <w:rFonts w:hint="eastAsia" w:eastAsia="仿宋"/>
          <w:snapToGrid w:val="0"/>
          <w:kern w:val="0"/>
          <w:sz w:val="28"/>
          <w:lang w:eastAsia="zh-CN"/>
        </w:rPr>
        <w:t>水质为</w:t>
      </w:r>
      <w:r>
        <w:rPr>
          <w:rFonts w:ascii="仿宋" w:hAnsi="仿宋" w:eastAsia="仿宋"/>
          <w:sz w:val="28"/>
        </w:rPr>
        <w:t>Ⅲ</w:t>
      </w:r>
      <w:r>
        <w:rPr>
          <w:rFonts w:hint="eastAsia" w:ascii="Times New Roman" w:hAnsi="仿宋" w:eastAsia="仿宋" w:cs="Times New Roman"/>
          <w:bCs/>
          <w:sz w:val="28"/>
          <w:szCs w:val="28"/>
        </w:rPr>
        <w:t>类</w:t>
      </w:r>
      <w:r>
        <w:rPr>
          <w:rFonts w:hint="eastAsia" w:ascii="Times New Roman" w:hAnsi="仿宋" w:eastAsia="仿宋" w:cs="Times New Roman"/>
          <w:bCs/>
          <w:sz w:val="28"/>
          <w:szCs w:val="28"/>
          <w:lang w:eastAsia="zh-CN"/>
        </w:rPr>
        <w:t>。</w:t>
      </w:r>
    </w:p>
    <w:p w14:paraId="553F58E3">
      <w:pPr>
        <w:adjustRightInd w:val="0"/>
        <w:snapToGrid w:val="0"/>
        <w:spacing w:line="440" w:lineRule="exact"/>
        <w:ind w:firstLine="560" w:firstLineChars="200"/>
        <w:rPr>
          <w:rFonts w:ascii="黑体" w:hAnsi="黑体" w:eastAsia="黑体"/>
          <w:snapToGrid w:val="0"/>
          <w:kern w:val="0"/>
          <w:sz w:val="28"/>
          <w:szCs w:val="28"/>
        </w:rPr>
      </w:pPr>
      <w:r>
        <w:rPr>
          <w:rFonts w:hint="eastAsia" w:ascii="黑体" w:hAnsi="黑体" w:eastAsia="黑体"/>
          <w:snapToGrid w:val="0"/>
          <w:kern w:val="0"/>
          <w:sz w:val="28"/>
          <w:szCs w:val="28"/>
        </w:rPr>
        <w:t>三、地表水质量</w:t>
      </w:r>
    </w:p>
    <w:p w14:paraId="4B78A8D4">
      <w:pPr>
        <w:adjustRightInd w:val="0"/>
        <w:snapToGrid w:val="0"/>
        <w:spacing w:line="440" w:lineRule="exact"/>
        <w:ind w:firstLine="560" w:firstLineChars="200"/>
        <w:rPr>
          <w:rFonts w:eastAsia="仿宋"/>
          <w:snapToGrid w:val="0"/>
          <w:kern w:val="0"/>
          <w:sz w:val="28"/>
        </w:rPr>
      </w:pPr>
      <w:r>
        <w:rPr>
          <w:rFonts w:eastAsia="仿宋"/>
          <w:snapToGrid w:val="0"/>
          <w:kern w:val="0"/>
          <w:sz w:val="28"/>
        </w:rPr>
        <w:t>20</w:t>
      </w:r>
      <w:r>
        <w:rPr>
          <w:rFonts w:hint="eastAsia" w:eastAsia="仿宋"/>
          <w:snapToGrid w:val="0"/>
          <w:kern w:val="0"/>
          <w:sz w:val="28"/>
        </w:rPr>
        <w:t>2</w:t>
      </w:r>
      <w:r>
        <w:rPr>
          <w:rFonts w:hint="eastAsia" w:eastAsia="仿宋"/>
          <w:snapToGrid w:val="0"/>
          <w:kern w:val="0"/>
          <w:sz w:val="28"/>
          <w:lang w:val="en-US" w:eastAsia="zh-CN"/>
        </w:rPr>
        <w:t>4</w:t>
      </w:r>
      <w:r>
        <w:rPr>
          <w:rFonts w:hint="eastAsia" w:eastAsia="仿宋"/>
          <w:snapToGrid w:val="0"/>
          <w:kern w:val="0"/>
          <w:sz w:val="28"/>
        </w:rPr>
        <w:t>年，张家港市地表水环境质量总体稳中有升。</w:t>
      </w:r>
    </w:p>
    <w:p w14:paraId="257835BE">
      <w:pPr>
        <w:spacing w:line="440" w:lineRule="exact"/>
        <w:ind w:firstLine="560" w:firstLineChars="200"/>
        <w:rPr>
          <w:rFonts w:eastAsia="仿宋"/>
          <w:sz w:val="28"/>
        </w:rPr>
      </w:pPr>
      <w:r>
        <w:rPr>
          <w:rFonts w:hint="eastAsia" w:eastAsia="仿宋"/>
          <w:sz w:val="28"/>
        </w:rPr>
        <w:t>1</w:t>
      </w:r>
      <w:r>
        <w:rPr>
          <w:rFonts w:eastAsia="仿宋"/>
          <w:sz w:val="28"/>
        </w:rPr>
        <w:t>5</w:t>
      </w:r>
      <w:r>
        <w:rPr>
          <w:rFonts w:hint="eastAsia" w:eastAsia="仿宋"/>
          <w:sz w:val="28"/>
        </w:rPr>
        <w:t>条</w:t>
      </w:r>
      <w:r>
        <w:rPr>
          <w:rFonts w:hAnsi="仿宋" w:eastAsia="仿宋"/>
          <w:sz w:val="28"/>
        </w:rPr>
        <w:t>主要</w:t>
      </w:r>
      <w:r>
        <w:rPr>
          <w:rFonts w:hint="eastAsia" w:eastAsia="仿宋"/>
          <w:sz w:val="28"/>
        </w:rPr>
        <w:t>河流36</w:t>
      </w:r>
      <w:r>
        <w:rPr>
          <w:rFonts w:eastAsia="仿宋"/>
          <w:sz w:val="28"/>
        </w:rPr>
        <w:t>个监测断面，</w:t>
      </w:r>
      <w:r>
        <w:rPr>
          <w:rFonts w:hint="eastAsia" w:ascii="仿宋" w:hAnsi="仿宋" w:eastAsia="仿宋"/>
          <w:sz w:val="28"/>
        </w:rPr>
        <w:t>Ⅱ</w:t>
      </w:r>
      <w:r>
        <w:rPr>
          <w:rFonts w:hint="eastAsia" w:eastAsia="仿宋"/>
          <w:sz w:val="28"/>
        </w:rPr>
        <w:t>类水质断面比例为</w:t>
      </w:r>
      <w:r>
        <w:rPr>
          <w:rFonts w:hint="eastAsia" w:eastAsia="仿宋"/>
          <w:sz w:val="28"/>
          <w:lang w:val="en-US" w:eastAsia="zh-CN"/>
        </w:rPr>
        <w:t>63</w:t>
      </w:r>
      <w:r>
        <w:rPr>
          <w:rFonts w:eastAsia="仿宋"/>
          <w:sz w:val="28"/>
        </w:rPr>
        <w:t>.9</w:t>
      </w:r>
      <w:r>
        <w:rPr>
          <w:rFonts w:hint="eastAsia" w:eastAsia="仿宋"/>
          <w:sz w:val="28"/>
        </w:rPr>
        <w:t>%，较上年</w:t>
      </w:r>
      <w:r>
        <w:rPr>
          <w:rFonts w:hint="eastAsia" w:eastAsia="仿宋"/>
          <w:sz w:val="28"/>
          <w:lang w:eastAsia="zh-CN"/>
        </w:rPr>
        <w:t>提高</w:t>
      </w:r>
      <w:r>
        <w:rPr>
          <w:rFonts w:hint="eastAsia" w:eastAsia="仿宋"/>
          <w:sz w:val="28"/>
          <w:lang w:val="en-US" w:eastAsia="zh-CN"/>
        </w:rPr>
        <w:t>25</w:t>
      </w:r>
      <w:r>
        <w:rPr>
          <w:rFonts w:hint="eastAsia" w:eastAsia="仿宋"/>
          <w:sz w:val="28"/>
        </w:rPr>
        <w:t>个百分点；</w:t>
      </w:r>
      <w:r>
        <w:rPr>
          <w:rFonts w:ascii="仿宋" w:hAnsi="仿宋" w:eastAsia="仿宋"/>
          <w:sz w:val="28"/>
        </w:rPr>
        <w:t>Ⅰ</w:t>
      </w:r>
      <w:r>
        <w:rPr>
          <w:rFonts w:eastAsia="仿宋"/>
          <w:sz w:val="28"/>
        </w:rPr>
        <w:t>~</w:t>
      </w:r>
      <w:r>
        <w:rPr>
          <w:rFonts w:ascii="仿宋" w:hAnsi="仿宋" w:eastAsia="仿宋"/>
          <w:sz w:val="28"/>
        </w:rPr>
        <w:t>Ⅲ</w:t>
      </w:r>
      <w:r>
        <w:rPr>
          <w:rFonts w:eastAsia="仿宋"/>
          <w:sz w:val="28"/>
        </w:rPr>
        <w:t>类水质断面比例为</w:t>
      </w:r>
      <w:r>
        <w:rPr>
          <w:rFonts w:hint="eastAsia" w:eastAsia="仿宋"/>
          <w:sz w:val="28"/>
        </w:rPr>
        <w:t>100%，</w:t>
      </w:r>
      <w:r>
        <w:rPr>
          <w:rFonts w:eastAsia="仿宋"/>
          <w:sz w:val="28"/>
        </w:rPr>
        <w:t>劣</w:t>
      </w:r>
      <w:r>
        <w:rPr>
          <w:rFonts w:ascii="仿宋" w:hAnsi="仿宋" w:eastAsia="仿宋"/>
          <w:sz w:val="28"/>
        </w:rPr>
        <w:t>Ⅴ</w:t>
      </w:r>
      <w:r>
        <w:rPr>
          <w:rFonts w:eastAsia="仿宋"/>
          <w:sz w:val="28"/>
        </w:rPr>
        <w:t>类水质断面比例为</w:t>
      </w:r>
      <w:r>
        <w:rPr>
          <w:rFonts w:hint="eastAsia" w:eastAsia="仿宋"/>
          <w:sz w:val="28"/>
        </w:rPr>
        <w:t>零，主要河流总体水质状况为优，与上年持平。</w:t>
      </w:r>
    </w:p>
    <w:p w14:paraId="627DD834">
      <w:pPr>
        <w:adjustRightInd w:val="0"/>
        <w:snapToGrid w:val="0"/>
        <w:spacing w:line="440" w:lineRule="exact"/>
        <w:ind w:firstLine="560" w:firstLineChars="200"/>
        <w:rPr>
          <w:rFonts w:hAnsi="仿宋" w:eastAsia="仿宋"/>
          <w:sz w:val="28"/>
        </w:rPr>
      </w:pPr>
      <w:r>
        <w:rPr>
          <w:rFonts w:hint="eastAsia" w:hAnsi="仿宋" w:eastAsia="仿宋"/>
          <w:sz w:val="28"/>
        </w:rPr>
        <w:t>4</w:t>
      </w:r>
      <w:r>
        <w:rPr>
          <w:rFonts w:hAnsi="仿宋" w:eastAsia="仿宋"/>
          <w:sz w:val="28"/>
        </w:rPr>
        <w:t>条城区河道</w:t>
      </w:r>
      <w:r>
        <w:rPr>
          <w:rFonts w:hint="eastAsia" w:eastAsia="仿宋"/>
          <w:sz w:val="28"/>
        </w:rPr>
        <w:t>7</w:t>
      </w:r>
      <w:r>
        <w:rPr>
          <w:rFonts w:hAnsi="仿宋" w:eastAsia="仿宋"/>
          <w:sz w:val="28"/>
        </w:rPr>
        <w:t>个断面</w:t>
      </w:r>
      <w:r>
        <w:rPr>
          <w:rFonts w:hint="eastAsia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Ⅰ</w:t>
      </w:r>
      <w:r>
        <w:rPr>
          <w:rFonts w:eastAsia="仿宋"/>
          <w:sz w:val="28"/>
        </w:rPr>
        <w:t>~</w:t>
      </w:r>
      <w:r>
        <w:rPr>
          <w:rFonts w:ascii="仿宋" w:hAnsi="仿宋" w:eastAsia="仿宋"/>
          <w:sz w:val="28"/>
        </w:rPr>
        <w:t>Ⅲ</w:t>
      </w:r>
      <w:r>
        <w:rPr>
          <w:rFonts w:eastAsia="仿宋"/>
          <w:sz w:val="28"/>
        </w:rPr>
        <w:t>类</w:t>
      </w:r>
      <w:r>
        <w:rPr>
          <w:rFonts w:hint="eastAsia" w:hAnsi="仿宋" w:eastAsia="仿宋"/>
          <w:sz w:val="28"/>
        </w:rPr>
        <w:t>水质断面比例为100%，与上年持平，无劣Ⅴ类水质断面，城区河道总体水质状况为优，与上年</w:t>
      </w:r>
      <w:r>
        <w:rPr>
          <w:rFonts w:hAnsi="仿宋" w:eastAsia="仿宋"/>
          <w:sz w:val="28"/>
        </w:rPr>
        <w:t>持平。</w:t>
      </w:r>
    </w:p>
    <w:p w14:paraId="771F443D">
      <w:pPr>
        <w:adjustRightInd w:val="0"/>
        <w:snapToGrid w:val="0"/>
        <w:spacing w:line="440" w:lineRule="exact"/>
        <w:ind w:firstLine="560" w:firstLineChars="200"/>
        <w:rPr>
          <w:rFonts w:hAnsi="仿宋"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31</w:t>
      </w:r>
      <w:r>
        <w:rPr>
          <w:rFonts w:hint="eastAsia" w:hAnsi="仿宋" w:eastAsia="仿宋"/>
          <w:sz w:val="28"/>
          <w:szCs w:val="28"/>
        </w:rPr>
        <w:t>个主要控制（考核）断面，</w:t>
      </w:r>
      <w:r>
        <w:rPr>
          <w:rFonts w:hAnsi="仿宋" w:eastAsia="仿宋"/>
          <w:sz w:val="28"/>
          <w:szCs w:val="28"/>
        </w:rPr>
        <w:t>1</w:t>
      </w:r>
      <w:r>
        <w:rPr>
          <w:rFonts w:hint="eastAsia" w:hAnsi="仿宋" w:eastAsia="仿宋"/>
          <w:sz w:val="28"/>
          <w:szCs w:val="28"/>
          <w:lang w:val="en-US" w:eastAsia="zh-CN"/>
        </w:rPr>
        <w:t>6</w:t>
      </w:r>
      <w:r>
        <w:rPr>
          <w:rFonts w:hint="eastAsia" w:hAnsi="仿宋" w:eastAsia="仿宋"/>
          <w:sz w:val="28"/>
          <w:szCs w:val="28"/>
        </w:rPr>
        <w:t>个为Ⅱ类水质，</w:t>
      </w:r>
      <w:r>
        <w:rPr>
          <w:rFonts w:hAnsi="仿宋" w:eastAsia="仿宋"/>
          <w:sz w:val="28"/>
          <w:szCs w:val="28"/>
        </w:rPr>
        <w:t>1</w:t>
      </w:r>
      <w:r>
        <w:rPr>
          <w:rFonts w:hint="eastAsia" w:hAnsi="仿宋" w:eastAsia="仿宋"/>
          <w:sz w:val="28"/>
          <w:szCs w:val="28"/>
          <w:lang w:val="en-US" w:eastAsia="zh-CN"/>
        </w:rPr>
        <w:t>5</w:t>
      </w:r>
      <w:r>
        <w:rPr>
          <w:rFonts w:hint="eastAsia" w:hAnsi="仿宋" w:eastAsia="仿宋"/>
          <w:sz w:val="28"/>
          <w:szCs w:val="28"/>
        </w:rPr>
        <w:t>个为</w:t>
      </w:r>
      <w:r>
        <w:rPr>
          <w:rFonts w:hAnsi="仿宋" w:eastAsia="仿宋"/>
          <w:sz w:val="28"/>
          <w:szCs w:val="28"/>
        </w:rPr>
        <w:t>Ⅲ</w:t>
      </w:r>
      <w:r>
        <w:rPr>
          <w:rFonts w:hint="eastAsia" w:hAnsi="仿宋" w:eastAsia="仿宋"/>
          <w:sz w:val="28"/>
          <w:szCs w:val="28"/>
        </w:rPr>
        <w:t>类水质，</w:t>
      </w:r>
      <w:r>
        <w:rPr>
          <w:rFonts w:hint="eastAsia" w:ascii="仿宋" w:hAnsi="仿宋" w:eastAsia="仿宋"/>
          <w:sz w:val="28"/>
        </w:rPr>
        <w:t>Ⅱ</w:t>
      </w:r>
      <w:r>
        <w:rPr>
          <w:rFonts w:hint="eastAsia" w:eastAsia="仿宋"/>
          <w:sz w:val="28"/>
        </w:rPr>
        <w:t>类水质断面比例为</w:t>
      </w:r>
      <w:r>
        <w:rPr>
          <w:rFonts w:hint="eastAsia" w:eastAsia="仿宋"/>
          <w:sz w:val="28"/>
          <w:lang w:val="en-US" w:eastAsia="zh-CN"/>
        </w:rPr>
        <w:t>51.6</w:t>
      </w:r>
      <w:r>
        <w:rPr>
          <w:rFonts w:hint="eastAsia" w:eastAsia="仿宋"/>
          <w:sz w:val="28"/>
        </w:rPr>
        <w:t>%，较上年</w:t>
      </w:r>
      <w:r>
        <w:rPr>
          <w:rFonts w:hint="eastAsia" w:eastAsia="仿宋"/>
          <w:sz w:val="28"/>
          <w:lang w:eastAsia="zh-CN"/>
        </w:rPr>
        <w:t>提高</w:t>
      </w:r>
      <w:r>
        <w:rPr>
          <w:rFonts w:hint="eastAsia" w:eastAsia="仿宋"/>
          <w:sz w:val="28"/>
          <w:lang w:val="en-US" w:eastAsia="zh-CN"/>
        </w:rPr>
        <w:t>3.2</w:t>
      </w:r>
      <w:r>
        <w:rPr>
          <w:rFonts w:hint="eastAsia" w:eastAsia="仿宋"/>
          <w:sz w:val="28"/>
        </w:rPr>
        <w:t>个百分点</w:t>
      </w:r>
      <w:r>
        <w:rPr>
          <w:rFonts w:hint="eastAsia" w:hAnsi="仿宋" w:eastAsia="仿宋"/>
          <w:sz w:val="28"/>
          <w:szCs w:val="28"/>
        </w:rPr>
        <w:t>。其中13个国省考断面、10个</w:t>
      </w:r>
      <w:r>
        <w:rPr>
          <w:rFonts w:hint="eastAsia" w:hAnsi="仿宋" w:eastAsia="仿宋"/>
          <w:sz w:val="28"/>
          <w:szCs w:val="28"/>
          <w:lang w:eastAsia="zh-CN"/>
        </w:rPr>
        <w:t>通江河道</w:t>
      </w:r>
      <w:r>
        <w:rPr>
          <w:rFonts w:hint="eastAsia" w:hAnsi="仿宋" w:eastAsia="仿宋"/>
          <w:sz w:val="28"/>
          <w:szCs w:val="28"/>
        </w:rPr>
        <w:t>省控断面</w:t>
      </w:r>
      <w:r>
        <w:rPr>
          <w:rFonts w:hint="eastAsia" w:hAnsi="仿宋" w:eastAsia="仿宋"/>
          <w:sz w:val="28"/>
          <w:szCs w:val="28"/>
          <w:lang w:eastAsia="zh-CN"/>
        </w:rPr>
        <w:t>、</w:t>
      </w:r>
      <w:r>
        <w:rPr>
          <w:rFonts w:hint="eastAsia" w:hAnsi="仿宋" w:eastAsia="仿宋"/>
          <w:sz w:val="28"/>
          <w:szCs w:val="28"/>
        </w:rPr>
        <w:t>17个市控断面</w:t>
      </w:r>
      <w:r>
        <w:rPr>
          <w:rFonts w:hint="eastAsia" w:hAnsi="仿宋" w:eastAsia="仿宋"/>
          <w:sz w:val="28"/>
          <w:szCs w:val="28"/>
          <w:lang w:eastAsia="zh-CN"/>
        </w:rPr>
        <w:t>和</w:t>
      </w:r>
      <w:r>
        <w:rPr>
          <w:rFonts w:hint="eastAsia" w:hAnsi="仿宋" w:eastAsia="仿宋"/>
          <w:sz w:val="28"/>
          <w:szCs w:val="28"/>
        </w:rPr>
        <w:t>5个苏州市“十四五”地表水环境质量优化调整考核断面</w:t>
      </w:r>
      <w:r>
        <w:rPr>
          <w:rFonts w:hint="eastAsia" w:hAnsi="仿宋" w:eastAsia="仿宋"/>
          <w:kern w:val="0"/>
          <w:sz w:val="28"/>
          <w:szCs w:val="28"/>
        </w:rPr>
        <w:t>“达</w:t>
      </w:r>
      <w:r>
        <w:rPr>
          <w:rFonts w:hAnsi="仿宋" w:eastAsia="仿宋"/>
          <w:sz w:val="28"/>
          <w:szCs w:val="28"/>
        </w:rPr>
        <w:t>Ⅲ</w:t>
      </w:r>
      <w:r>
        <w:rPr>
          <w:rFonts w:hint="eastAsia" w:hAnsi="仿宋" w:eastAsia="仿宋"/>
          <w:kern w:val="0"/>
          <w:sz w:val="28"/>
          <w:szCs w:val="28"/>
        </w:rPr>
        <w:t>类水比例”均为100%，均与上年持平。</w:t>
      </w:r>
    </w:p>
    <w:p w14:paraId="3735503C">
      <w:pPr>
        <w:pStyle w:val="2"/>
      </w:pPr>
    </w:p>
    <w:p w14:paraId="03365240">
      <w:pPr>
        <w:adjustRightInd w:val="0"/>
        <w:snapToGrid w:val="0"/>
        <w:spacing w:line="480" w:lineRule="auto"/>
        <w:ind w:firstLine="420" w:firstLineChars="200"/>
        <w:rPr>
          <w:rFonts w:eastAsia="仿宋"/>
          <w:sz w:val="28"/>
          <w:szCs w:val="28"/>
        </w:rPr>
      </w:pPr>
      <w:r>
        <w:drawing>
          <wp:inline distT="0" distB="0" distL="114300" distR="114300">
            <wp:extent cx="5277485" cy="2569845"/>
            <wp:effectExtent l="0" t="0" r="18415" b="1905"/>
            <wp:docPr id="6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0476DC7">
      <w:pPr>
        <w:adjustRightInd w:val="0"/>
        <w:snapToGrid w:val="0"/>
        <w:spacing w:line="440" w:lineRule="exact"/>
        <w:ind w:firstLine="560" w:firstLineChars="200"/>
        <w:rPr>
          <w:rFonts w:ascii="黑体" w:hAnsi="黑体" w:eastAsia="黑体"/>
          <w:snapToGrid w:val="0"/>
          <w:kern w:val="0"/>
          <w:sz w:val="28"/>
          <w:szCs w:val="28"/>
        </w:rPr>
      </w:pPr>
      <w:r>
        <w:rPr>
          <w:rFonts w:hint="eastAsia" w:ascii="黑体" w:hAnsi="黑体" w:eastAsia="黑体"/>
          <w:snapToGrid w:val="0"/>
          <w:kern w:val="0"/>
          <w:sz w:val="28"/>
          <w:szCs w:val="28"/>
        </w:rPr>
        <w:t>四、声环境质量</w:t>
      </w:r>
    </w:p>
    <w:p w14:paraId="197C6062">
      <w:pPr>
        <w:adjustRightInd w:val="0"/>
        <w:snapToGrid w:val="0"/>
        <w:spacing w:line="440" w:lineRule="exact"/>
        <w:ind w:firstLine="548" w:firstLineChars="196"/>
        <w:rPr>
          <w:rFonts w:eastAsia="仿宋"/>
          <w:snapToGrid w:val="0"/>
          <w:kern w:val="0"/>
          <w:sz w:val="28"/>
        </w:rPr>
      </w:pPr>
      <w:r>
        <w:rPr>
          <w:rFonts w:eastAsia="仿宋"/>
          <w:snapToGrid w:val="0"/>
          <w:kern w:val="0"/>
          <w:sz w:val="28"/>
        </w:rPr>
        <w:t>20</w:t>
      </w:r>
      <w:r>
        <w:rPr>
          <w:rFonts w:hint="eastAsia" w:eastAsia="仿宋"/>
          <w:snapToGrid w:val="0"/>
          <w:kern w:val="0"/>
          <w:sz w:val="28"/>
        </w:rPr>
        <w:t>2</w:t>
      </w:r>
      <w:r>
        <w:rPr>
          <w:rFonts w:hint="eastAsia" w:eastAsia="仿宋"/>
          <w:snapToGrid w:val="0"/>
          <w:kern w:val="0"/>
          <w:sz w:val="28"/>
          <w:lang w:val="en-US" w:eastAsia="zh-CN"/>
        </w:rPr>
        <w:t>4</w:t>
      </w:r>
      <w:r>
        <w:rPr>
          <w:rFonts w:hint="eastAsia" w:eastAsia="仿宋"/>
          <w:snapToGrid w:val="0"/>
          <w:kern w:val="0"/>
          <w:sz w:val="28"/>
        </w:rPr>
        <w:t>年，张家港市城区声环境质量总体稳中有升。</w:t>
      </w:r>
    </w:p>
    <w:p w14:paraId="2112F585">
      <w:pPr>
        <w:adjustRightInd w:val="0"/>
        <w:snapToGrid w:val="0"/>
        <w:spacing w:line="440" w:lineRule="exact"/>
        <w:ind w:firstLine="561"/>
        <w:rPr>
          <w:rFonts w:hAnsi="仿宋" w:eastAsia="仿宋"/>
          <w:sz w:val="28"/>
          <w:szCs w:val="28"/>
        </w:rPr>
      </w:pPr>
      <w:bookmarkStart w:id="0" w:name="_GoBack"/>
      <w:r>
        <w:rPr>
          <w:rFonts w:hint="eastAsia" w:eastAsia="仿宋"/>
          <w:kern w:val="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100965</wp:posOffset>
            </wp:positionV>
            <wp:extent cx="2783205" cy="1570990"/>
            <wp:effectExtent l="0" t="0" r="0" b="0"/>
            <wp:wrapSquare wrapText="bothSides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851" r="8736" b="4630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eastAsia="仿宋"/>
          <w:snapToGrid w:val="0"/>
          <w:kern w:val="0"/>
          <w:sz w:val="28"/>
        </w:rPr>
        <w:t>区域环境噪声</w:t>
      </w:r>
      <w:r>
        <w:rPr>
          <w:rFonts w:hint="eastAsia" w:eastAsia="仿宋"/>
          <w:sz w:val="28"/>
          <w:szCs w:val="28"/>
        </w:rPr>
        <w:t>昼间平均</w:t>
      </w:r>
      <w:r>
        <w:rPr>
          <w:rFonts w:hint="eastAsia" w:hAnsi="仿宋" w:eastAsia="仿宋"/>
          <w:sz w:val="28"/>
          <w:szCs w:val="28"/>
        </w:rPr>
        <w:t>等效声级为</w:t>
      </w:r>
      <w:r>
        <w:rPr>
          <w:rFonts w:hint="eastAsia" w:eastAsia="仿宋"/>
          <w:sz w:val="28"/>
          <w:szCs w:val="28"/>
        </w:rPr>
        <w:t>5</w:t>
      </w:r>
      <w:r>
        <w:rPr>
          <w:rFonts w:hint="eastAsia" w:eastAsia="仿宋"/>
          <w:sz w:val="28"/>
          <w:szCs w:val="28"/>
          <w:lang w:val="en-US" w:eastAsia="zh-CN"/>
        </w:rPr>
        <w:t>5.0</w:t>
      </w:r>
      <w:r>
        <w:rPr>
          <w:rFonts w:hint="eastAsia" w:eastAsia="仿宋"/>
          <w:sz w:val="28"/>
          <w:szCs w:val="28"/>
        </w:rPr>
        <w:t>分贝</w:t>
      </w:r>
      <w:r>
        <w:rPr>
          <w:rFonts w:eastAsia="仿宋"/>
          <w:sz w:val="28"/>
          <w:szCs w:val="28"/>
        </w:rPr>
        <w:t>(A)</w:t>
      </w:r>
      <w:r>
        <w:rPr>
          <w:rFonts w:hint="eastAsia" w:hAnsi="仿宋" w:eastAsia="仿宋"/>
          <w:sz w:val="28"/>
          <w:szCs w:val="28"/>
        </w:rPr>
        <w:t>，总体水平为二级，</w:t>
      </w:r>
      <w:r>
        <w:rPr>
          <w:rFonts w:hint="eastAsia" w:eastAsia="仿宋"/>
          <w:snapToGrid w:val="0"/>
          <w:kern w:val="0"/>
          <w:sz w:val="28"/>
        </w:rPr>
        <w:t>区域</w:t>
      </w:r>
      <w:r>
        <w:rPr>
          <w:rFonts w:hint="eastAsia" w:eastAsia="仿宋"/>
          <w:sz w:val="28"/>
          <w:szCs w:val="28"/>
        </w:rPr>
        <w:t>昼间</w:t>
      </w:r>
      <w:r>
        <w:rPr>
          <w:rFonts w:hint="eastAsia" w:eastAsia="仿宋"/>
          <w:sz w:val="28"/>
          <w:szCs w:val="28"/>
          <w:lang w:eastAsia="zh-CN"/>
        </w:rPr>
        <w:t>声</w:t>
      </w:r>
      <w:r>
        <w:rPr>
          <w:rFonts w:hint="eastAsia" w:hAnsi="仿宋" w:eastAsia="仿宋"/>
          <w:sz w:val="28"/>
          <w:szCs w:val="28"/>
        </w:rPr>
        <w:t>环境</w:t>
      </w:r>
      <w:r>
        <w:rPr>
          <w:rFonts w:hint="eastAsia" w:eastAsia="仿宋"/>
          <w:sz w:val="28"/>
          <w:szCs w:val="28"/>
        </w:rPr>
        <w:t>质量为较好</w:t>
      </w:r>
      <w:r>
        <w:rPr>
          <w:rFonts w:hint="eastAsia" w:eastAsia="仿宋"/>
          <w:sz w:val="28"/>
          <w:szCs w:val="28"/>
          <w:lang w:eastAsia="zh-CN"/>
        </w:rPr>
        <w:t>。</w:t>
      </w:r>
      <w:r>
        <w:rPr>
          <w:rFonts w:hint="eastAsia" w:hAnsi="仿宋" w:eastAsia="仿宋"/>
          <w:sz w:val="28"/>
          <w:szCs w:val="28"/>
        </w:rPr>
        <w:t>社会</w:t>
      </w:r>
      <w:r>
        <w:rPr>
          <w:rFonts w:hAnsi="仿宋" w:eastAsia="仿宋"/>
          <w:sz w:val="28"/>
          <w:szCs w:val="28"/>
        </w:rPr>
        <w:t>生活噪声</w:t>
      </w:r>
      <w:r>
        <w:rPr>
          <w:rFonts w:hint="eastAsia" w:hAnsi="仿宋" w:eastAsia="仿宋"/>
          <w:sz w:val="28"/>
          <w:szCs w:val="28"/>
        </w:rPr>
        <w:t>是影响我市城区声环境质量的主要污染源，</w:t>
      </w:r>
      <w:r>
        <w:rPr>
          <w:rFonts w:hAnsi="仿宋" w:eastAsia="仿宋"/>
          <w:sz w:val="28"/>
          <w:szCs w:val="28"/>
        </w:rPr>
        <w:t>占8</w:t>
      </w:r>
      <w:r>
        <w:rPr>
          <w:rFonts w:hint="eastAsia" w:hAnsi="仿宋" w:eastAsia="仿宋"/>
          <w:sz w:val="28"/>
          <w:szCs w:val="28"/>
        </w:rPr>
        <w:t>2.9</w:t>
      </w:r>
      <w:r>
        <w:rPr>
          <w:rFonts w:hAnsi="仿宋" w:eastAsia="仿宋"/>
          <w:sz w:val="28"/>
          <w:szCs w:val="28"/>
        </w:rPr>
        <w:t>%，</w:t>
      </w:r>
      <w:r>
        <w:rPr>
          <w:rFonts w:hint="eastAsia" w:hAnsi="仿宋" w:eastAsia="仿宋"/>
          <w:sz w:val="28"/>
          <w:szCs w:val="28"/>
        </w:rPr>
        <w:t>其次为</w:t>
      </w:r>
      <w:r>
        <w:rPr>
          <w:rFonts w:hAnsi="仿宋" w:eastAsia="仿宋"/>
          <w:sz w:val="28"/>
          <w:szCs w:val="28"/>
        </w:rPr>
        <w:t>交通噪声</w:t>
      </w:r>
      <w:r>
        <w:rPr>
          <w:rFonts w:hint="eastAsia" w:hAnsi="仿宋" w:eastAsia="仿宋"/>
          <w:sz w:val="28"/>
          <w:szCs w:val="28"/>
        </w:rPr>
        <w:t>、</w:t>
      </w:r>
      <w:r>
        <w:rPr>
          <w:rFonts w:hAnsi="仿宋" w:eastAsia="仿宋"/>
          <w:sz w:val="28"/>
          <w:szCs w:val="28"/>
        </w:rPr>
        <w:t>工业</w:t>
      </w:r>
      <w:r>
        <w:rPr>
          <w:rFonts w:hint="eastAsia" w:hAnsi="仿宋" w:eastAsia="仿宋"/>
          <w:sz w:val="28"/>
          <w:szCs w:val="28"/>
        </w:rPr>
        <w:t>噪声和</w:t>
      </w:r>
      <w:r>
        <w:rPr>
          <w:rFonts w:hAnsi="仿宋" w:eastAsia="仿宋"/>
          <w:sz w:val="28"/>
          <w:szCs w:val="28"/>
        </w:rPr>
        <w:t>施工噪声。</w:t>
      </w:r>
    </w:p>
    <w:p w14:paraId="27AE9E62">
      <w:pPr>
        <w:adjustRightInd w:val="0"/>
        <w:snapToGrid w:val="0"/>
        <w:spacing w:line="440" w:lineRule="exact"/>
        <w:ind w:firstLine="560" w:firstLineChars="200"/>
        <w:rPr>
          <w:rFonts w:hAnsi="仿宋" w:eastAsia="仿宋"/>
          <w:sz w:val="28"/>
          <w:szCs w:val="28"/>
        </w:rPr>
      </w:pPr>
      <w:r>
        <w:rPr>
          <w:rFonts w:hint="eastAsia" w:eastAsia="仿宋"/>
          <w:snapToGrid w:val="0"/>
          <w:kern w:val="0"/>
          <w:sz w:val="28"/>
        </w:rPr>
        <w:t>道路交通</w:t>
      </w:r>
      <w:r>
        <w:rPr>
          <w:rFonts w:hint="eastAsia" w:hAnsi="仿宋" w:eastAsia="仿宋"/>
          <w:sz w:val="28"/>
          <w:szCs w:val="28"/>
        </w:rPr>
        <w:t>噪声</w:t>
      </w:r>
      <w:r>
        <w:rPr>
          <w:rFonts w:hint="eastAsia" w:eastAsia="仿宋"/>
          <w:sz w:val="28"/>
          <w:szCs w:val="28"/>
        </w:rPr>
        <w:t>昼间平均</w:t>
      </w:r>
      <w:r>
        <w:rPr>
          <w:rFonts w:hint="eastAsia" w:hAnsi="仿宋" w:eastAsia="仿宋"/>
          <w:sz w:val="28"/>
          <w:szCs w:val="28"/>
        </w:rPr>
        <w:t>等效声级为</w:t>
      </w:r>
      <w:r>
        <w:rPr>
          <w:rFonts w:hint="eastAsia" w:eastAsia="仿宋"/>
          <w:sz w:val="28"/>
          <w:szCs w:val="28"/>
        </w:rPr>
        <w:t>65</w:t>
      </w:r>
      <w:r>
        <w:rPr>
          <w:rFonts w:eastAsia="仿宋"/>
          <w:sz w:val="28"/>
          <w:szCs w:val="28"/>
        </w:rPr>
        <w:t>.</w:t>
      </w:r>
      <w:r>
        <w:rPr>
          <w:rFonts w:hint="eastAsia" w:eastAsia="仿宋"/>
          <w:sz w:val="28"/>
          <w:szCs w:val="28"/>
          <w:lang w:val="en-US" w:eastAsia="zh-CN"/>
        </w:rPr>
        <w:t>7</w:t>
      </w:r>
      <w:r>
        <w:rPr>
          <w:rFonts w:hint="eastAsia" w:eastAsia="仿宋"/>
          <w:sz w:val="28"/>
          <w:szCs w:val="28"/>
        </w:rPr>
        <w:t>分贝</w:t>
      </w:r>
      <w:r>
        <w:rPr>
          <w:rFonts w:eastAsia="仿宋"/>
          <w:sz w:val="28"/>
          <w:szCs w:val="28"/>
        </w:rPr>
        <w:t>(A)</w:t>
      </w:r>
      <w:r>
        <w:rPr>
          <w:rFonts w:hint="eastAsia" w:hAnsi="仿宋" w:eastAsia="仿宋"/>
          <w:sz w:val="28"/>
          <w:szCs w:val="28"/>
        </w:rPr>
        <w:t>，</w:t>
      </w:r>
      <w:r>
        <w:rPr>
          <w:rFonts w:hint="eastAsia" w:eastAsia="仿宋"/>
          <w:sz w:val="28"/>
          <w:szCs w:val="28"/>
        </w:rPr>
        <w:t>噪声强度为一级，</w:t>
      </w:r>
      <w:r>
        <w:rPr>
          <w:rFonts w:hint="eastAsia" w:eastAsia="仿宋"/>
          <w:snapToGrid w:val="0"/>
          <w:kern w:val="0"/>
          <w:sz w:val="28"/>
        </w:rPr>
        <w:t>道路交通</w:t>
      </w:r>
      <w:r>
        <w:rPr>
          <w:rFonts w:hint="eastAsia" w:eastAsia="仿宋"/>
          <w:sz w:val="28"/>
          <w:szCs w:val="28"/>
        </w:rPr>
        <w:t>昼间声环境质量为好</w:t>
      </w:r>
      <w:r>
        <w:rPr>
          <w:rFonts w:eastAsia="仿宋"/>
          <w:sz w:val="28"/>
          <w:szCs w:val="28"/>
        </w:rPr>
        <w:t>。</w:t>
      </w:r>
    </w:p>
    <w:p w14:paraId="7ADEF5BB">
      <w:pPr>
        <w:adjustRightInd w:val="0"/>
        <w:snapToGrid w:val="0"/>
        <w:spacing w:line="440" w:lineRule="exact"/>
        <w:ind w:firstLine="528"/>
        <w:rPr>
          <w:rFonts w:eastAsia="仿宋"/>
          <w:kern w:val="0"/>
          <w:sz w:val="28"/>
          <w:szCs w:val="24"/>
        </w:rPr>
      </w:pPr>
      <w:r>
        <w:rPr>
          <w:rFonts w:eastAsia="仿宋"/>
          <w:kern w:val="0"/>
          <w:sz w:val="28"/>
          <w:szCs w:val="24"/>
        </w:rPr>
        <w:t>20</w:t>
      </w:r>
      <w:r>
        <w:rPr>
          <w:rFonts w:hint="eastAsia" w:eastAsia="仿宋"/>
          <w:kern w:val="0"/>
          <w:sz w:val="28"/>
          <w:szCs w:val="24"/>
        </w:rPr>
        <w:t>2</w:t>
      </w:r>
      <w:r>
        <w:rPr>
          <w:rFonts w:eastAsia="仿宋"/>
          <w:kern w:val="0"/>
          <w:sz w:val="28"/>
          <w:szCs w:val="24"/>
        </w:rPr>
        <w:t>4年</w:t>
      </w:r>
      <w:r>
        <w:rPr>
          <w:rFonts w:hint="eastAsia" w:eastAsia="仿宋"/>
          <w:sz w:val="28"/>
          <w:szCs w:val="28"/>
        </w:rPr>
        <w:t>，</w:t>
      </w:r>
      <w:r>
        <w:rPr>
          <w:rFonts w:hint="eastAsia" w:eastAsia="仿宋"/>
          <w:kern w:val="0"/>
          <w:sz w:val="28"/>
          <w:szCs w:val="24"/>
        </w:rPr>
        <w:t>城</w:t>
      </w:r>
      <w:r>
        <w:rPr>
          <w:rFonts w:eastAsia="仿宋"/>
          <w:kern w:val="0"/>
          <w:sz w:val="28"/>
          <w:szCs w:val="24"/>
        </w:rPr>
        <w:t>区</w:t>
      </w:r>
      <w:r>
        <w:rPr>
          <w:rFonts w:hint="eastAsia" w:eastAsia="仿宋"/>
          <w:kern w:val="0"/>
          <w:sz w:val="28"/>
          <w:szCs w:val="24"/>
        </w:rPr>
        <w:t>4</w:t>
      </w:r>
      <w:r>
        <w:rPr>
          <w:rFonts w:eastAsia="仿宋"/>
          <w:kern w:val="0"/>
          <w:sz w:val="28"/>
          <w:szCs w:val="24"/>
        </w:rPr>
        <w:t>个声环境功能区7个声功能区定点监测点</w:t>
      </w:r>
      <w:r>
        <w:rPr>
          <w:rFonts w:hint="eastAsia" w:eastAsia="仿宋"/>
          <w:kern w:val="0"/>
          <w:sz w:val="28"/>
          <w:szCs w:val="24"/>
        </w:rPr>
        <w:t>，除</w:t>
      </w:r>
      <w:r>
        <w:rPr>
          <w:rFonts w:eastAsia="仿宋"/>
          <w:kern w:val="0"/>
          <w:sz w:val="28"/>
          <w:szCs w:val="24"/>
        </w:rPr>
        <w:t>1</w:t>
      </w:r>
      <w:r>
        <w:rPr>
          <w:rFonts w:hint="eastAsia" w:eastAsia="仿宋"/>
          <w:kern w:val="0"/>
          <w:sz w:val="28"/>
          <w:szCs w:val="24"/>
        </w:rPr>
        <w:t>类、3类功能区监测点次夜间达标率为87.5%，其余</w:t>
      </w:r>
      <w:r>
        <w:rPr>
          <w:rFonts w:hint="eastAsia" w:eastAsia="仿宋"/>
          <w:sz w:val="28"/>
          <w:szCs w:val="28"/>
        </w:rPr>
        <w:t>各</w:t>
      </w:r>
      <w:r>
        <w:rPr>
          <w:rFonts w:eastAsia="仿宋"/>
          <w:sz w:val="28"/>
          <w:szCs w:val="28"/>
        </w:rPr>
        <w:t>类</w:t>
      </w:r>
      <w:r>
        <w:rPr>
          <w:rFonts w:hint="eastAsia" w:eastAsia="仿宋"/>
          <w:sz w:val="28"/>
          <w:szCs w:val="28"/>
        </w:rPr>
        <w:t>声</w:t>
      </w:r>
      <w:r>
        <w:rPr>
          <w:rFonts w:eastAsia="仿宋"/>
          <w:sz w:val="28"/>
          <w:szCs w:val="28"/>
        </w:rPr>
        <w:t>功能区</w:t>
      </w:r>
      <w:r>
        <w:rPr>
          <w:rFonts w:hint="eastAsia" w:eastAsia="仿宋"/>
          <w:sz w:val="28"/>
          <w:szCs w:val="28"/>
        </w:rPr>
        <w:t>监测点次昼</w:t>
      </w:r>
      <w:r>
        <w:rPr>
          <w:rFonts w:eastAsia="仿宋"/>
          <w:sz w:val="28"/>
          <w:szCs w:val="28"/>
        </w:rPr>
        <w:t>间</w:t>
      </w:r>
      <w:r>
        <w:rPr>
          <w:rFonts w:hint="eastAsia" w:eastAsia="仿宋"/>
          <w:sz w:val="28"/>
          <w:szCs w:val="28"/>
        </w:rPr>
        <w:t>和</w:t>
      </w:r>
      <w:r>
        <w:rPr>
          <w:rFonts w:eastAsia="仿宋"/>
          <w:sz w:val="28"/>
          <w:szCs w:val="28"/>
        </w:rPr>
        <w:t>夜间</w:t>
      </w:r>
      <w:r>
        <w:rPr>
          <w:rFonts w:hint="eastAsia" w:eastAsia="仿宋"/>
          <w:sz w:val="28"/>
          <w:szCs w:val="28"/>
        </w:rPr>
        <w:t>达标率均为100%；与上年相比，1类声</w:t>
      </w:r>
      <w:r>
        <w:rPr>
          <w:rFonts w:eastAsia="仿宋"/>
          <w:sz w:val="28"/>
          <w:szCs w:val="28"/>
        </w:rPr>
        <w:t>功能区</w:t>
      </w:r>
      <w:r>
        <w:rPr>
          <w:rFonts w:hint="eastAsia" w:eastAsia="仿宋"/>
          <w:sz w:val="28"/>
          <w:szCs w:val="28"/>
        </w:rPr>
        <w:t>监测点次昼</w:t>
      </w:r>
      <w:r>
        <w:rPr>
          <w:rFonts w:eastAsia="仿宋"/>
          <w:sz w:val="28"/>
          <w:szCs w:val="28"/>
        </w:rPr>
        <w:t>间</w:t>
      </w:r>
      <w:r>
        <w:rPr>
          <w:rFonts w:hint="eastAsia" w:eastAsia="仿宋"/>
          <w:sz w:val="28"/>
          <w:szCs w:val="28"/>
        </w:rPr>
        <w:t>达标率上升12.5</w:t>
      </w:r>
      <w:r>
        <w:rPr>
          <w:rFonts w:hint="eastAsia" w:eastAsia="仿宋"/>
          <w:sz w:val="28"/>
          <w:szCs w:val="28"/>
          <w:lang w:val="en-US" w:eastAsia="zh-CN"/>
        </w:rPr>
        <w:t>%</w:t>
      </w:r>
      <w:r>
        <w:rPr>
          <w:rFonts w:hint="eastAsia" w:eastAsia="仿宋"/>
          <w:sz w:val="28"/>
          <w:szCs w:val="28"/>
        </w:rPr>
        <w:t>，3类声功能区监测点次夜间达标率下降12.5%，其余均持平。</w:t>
      </w:r>
    </w:p>
    <w:p w14:paraId="5ADA1B77">
      <w:pPr>
        <w:adjustRightInd w:val="0"/>
        <w:snapToGrid w:val="0"/>
        <w:spacing w:line="440" w:lineRule="exact"/>
        <w:ind w:firstLine="528"/>
        <w:rPr>
          <w:rFonts w:ascii="黑体" w:hAnsi="黑体" w:eastAsia="黑体"/>
          <w:snapToGrid w:val="0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1C522">
    <w:pPr>
      <w:pStyle w:val="4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204FB2F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wOTQ3ZjYxYzFmYzNhMmJhOTk0MDFkNTNmZjE0ZDcifQ=="/>
  </w:docVars>
  <w:rsids>
    <w:rsidRoot w:val="00067E34"/>
    <w:rsid w:val="0000167A"/>
    <w:rsid w:val="00010008"/>
    <w:rsid w:val="0001495A"/>
    <w:rsid w:val="0003226D"/>
    <w:rsid w:val="0004121D"/>
    <w:rsid w:val="00043371"/>
    <w:rsid w:val="00046844"/>
    <w:rsid w:val="0006773C"/>
    <w:rsid w:val="00067E34"/>
    <w:rsid w:val="00067F6A"/>
    <w:rsid w:val="00091FD2"/>
    <w:rsid w:val="000A1C42"/>
    <w:rsid w:val="000A232E"/>
    <w:rsid w:val="000D1740"/>
    <w:rsid w:val="000D2E05"/>
    <w:rsid w:val="000E663D"/>
    <w:rsid w:val="00116123"/>
    <w:rsid w:val="001274B8"/>
    <w:rsid w:val="001451A8"/>
    <w:rsid w:val="00160137"/>
    <w:rsid w:val="00163BC8"/>
    <w:rsid w:val="00172418"/>
    <w:rsid w:val="001800BC"/>
    <w:rsid w:val="00194AB0"/>
    <w:rsid w:val="001B316E"/>
    <w:rsid w:val="001C4B1A"/>
    <w:rsid w:val="001D33B9"/>
    <w:rsid w:val="00202538"/>
    <w:rsid w:val="00223514"/>
    <w:rsid w:val="00282E96"/>
    <w:rsid w:val="00285B80"/>
    <w:rsid w:val="002E32AE"/>
    <w:rsid w:val="002E6A50"/>
    <w:rsid w:val="002F16FD"/>
    <w:rsid w:val="002F43AA"/>
    <w:rsid w:val="0031325B"/>
    <w:rsid w:val="00315D13"/>
    <w:rsid w:val="00321272"/>
    <w:rsid w:val="00331351"/>
    <w:rsid w:val="003343C5"/>
    <w:rsid w:val="00335CAC"/>
    <w:rsid w:val="003507C8"/>
    <w:rsid w:val="00351120"/>
    <w:rsid w:val="00352311"/>
    <w:rsid w:val="003527E1"/>
    <w:rsid w:val="00352B9F"/>
    <w:rsid w:val="00397B98"/>
    <w:rsid w:val="003A1ED4"/>
    <w:rsid w:val="003E0FC2"/>
    <w:rsid w:val="003E7BA8"/>
    <w:rsid w:val="004277CD"/>
    <w:rsid w:val="0044268A"/>
    <w:rsid w:val="00453A27"/>
    <w:rsid w:val="00456DC9"/>
    <w:rsid w:val="00461830"/>
    <w:rsid w:val="00461D5A"/>
    <w:rsid w:val="00462BA0"/>
    <w:rsid w:val="004729DD"/>
    <w:rsid w:val="004842DB"/>
    <w:rsid w:val="004A3C92"/>
    <w:rsid w:val="004D3C8D"/>
    <w:rsid w:val="004D6472"/>
    <w:rsid w:val="004F05B7"/>
    <w:rsid w:val="00504DBB"/>
    <w:rsid w:val="00512122"/>
    <w:rsid w:val="00537C0F"/>
    <w:rsid w:val="005948B2"/>
    <w:rsid w:val="005B6D02"/>
    <w:rsid w:val="005D577C"/>
    <w:rsid w:val="005F3046"/>
    <w:rsid w:val="006011E3"/>
    <w:rsid w:val="0060492C"/>
    <w:rsid w:val="00605E6C"/>
    <w:rsid w:val="00613D7B"/>
    <w:rsid w:val="00615ABE"/>
    <w:rsid w:val="00615B30"/>
    <w:rsid w:val="00620C64"/>
    <w:rsid w:val="00623506"/>
    <w:rsid w:val="006343E7"/>
    <w:rsid w:val="00651A79"/>
    <w:rsid w:val="00656D7F"/>
    <w:rsid w:val="006646BF"/>
    <w:rsid w:val="006764DB"/>
    <w:rsid w:val="0068304A"/>
    <w:rsid w:val="00685D1D"/>
    <w:rsid w:val="00692350"/>
    <w:rsid w:val="006A44B7"/>
    <w:rsid w:val="006A7053"/>
    <w:rsid w:val="006B05DB"/>
    <w:rsid w:val="006D0410"/>
    <w:rsid w:val="006D3960"/>
    <w:rsid w:val="006D619D"/>
    <w:rsid w:val="006E0C1A"/>
    <w:rsid w:val="006E3602"/>
    <w:rsid w:val="0070093A"/>
    <w:rsid w:val="00703DCA"/>
    <w:rsid w:val="00704AFE"/>
    <w:rsid w:val="00723A96"/>
    <w:rsid w:val="00731CA6"/>
    <w:rsid w:val="00736F1D"/>
    <w:rsid w:val="007400CC"/>
    <w:rsid w:val="00740197"/>
    <w:rsid w:val="00744643"/>
    <w:rsid w:val="00744B3E"/>
    <w:rsid w:val="00747488"/>
    <w:rsid w:val="0076374B"/>
    <w:rsid w:val="00782A15"/>
    <w:rsid w:val="00784A19"/>
    <w:rsid w:val="00786FB9"/>
    <w:rsid w:val="007C39F1"/>
    <w:rsid w:val="007F2EE3"/>
    <w:rsid w:val="0080339B"/>
    <w:rsid w:val="00806F15"/>
    <w:rsid w:val="00812E91"/>
    <w:rsid w:val="00815F8B"/>
    <w:rsid w:val="00820C3B"/>
    <w:rsid w:val="00822405"/>
    <w:rsid w:val="00822D32"/>
    <w:rsid w:val="00826D00"/>
    <w:rsid w:val="00827A9F"/>
    <w:rsid w:val="008341A4"/>
    <w:rsid w:val="00842A28"/>
    <w:rsid w:val="0086699D"/>
    <w:rsid w:val="00880FB8"/>
    <w:rsid w:val="00890AFB"/>
    <w:rsid w:val="008A3A8F"/>
    <w:rsid w:val="008E4762"/>
    <w:rsid w:val="008E7A56"/>
    <w:rsid w:val="008F281A"/>
    <w:rsid w:val="0090751D"/>
    <w:rsid w:val="00911DC8"/>
    <w:rsid w:val="00920B11"/>
    <w:rsid w:val="00967C20"/>
    <w:rsid w:val="009736A4"/>
    <w:rsid w:val="009A5A79"/>
    <w:rsid w:val="009A63A5"/>
    <w:rsid w:val="009B6D1D"/>
    <w:rsid w:val="009C13E0"/>
    <w:rsid w:val="009C2033"/>
    <w:rsid w:val="009C7262"/>
    <w:rsid w:val="009C7416"/>
    <w:rsid w:val="009D2144"/>
    <w:rsid w:val="009E0F96"/>
    <w:rsid w:val="009E7F8D"/>
    <w:rsid w:val="00A3483C"/>
    <w:rsid w:val="00A37918"/>
    <w:rsid w:val="00A4275B"/>
    <w:rsid w:val="00A439C1"/>
    <w:rsid w:val="00A65DD6"/>
    <w:rsid w:val="00AB5096"/>
    <w:rsid w:val="00B13132"/>
    <w:rsid w:val="00B163F4"/>
    <w:rsid w:val="00B27485"/>
    <w:rsid w:val="00B3079C"/>
    <w:rsid w:val="00B3523F"/>
    <w:rsid w:val="00B444D6"/>
    <w:rsid w:val="00B51F82"/>
    <w:rsid w:val="00B606DE"/>
    <w:rsid w:val="00B60F1B"/>
    <w:rsid w:val="00B72D14"/>
    <w:rsid w:val="00B97A5C"/>
    <w:rsid w:val="00BA289B"/>
    <w:rsid w:val="00BA4604"/>
    <w:rsid w:val="00BA5A2E"/>
    <w:rsid w:val="00BA7D11"/>
    <w:rsid w:val="00BC732D"/>
    <w:rsid w:val="00BD62A1"/>
    <w:rsid w:val="00BD7F6C"/>
    <w:rsid w:val="00C0299F"/>
    <w:rsid w:val="00C1223B"/>
    <w:rsid w:val="00C21EC3"/>
    <w:rsid w:val="00C25BED"/>
    <w:rsid w:val="00C26E0B"/>
    <w:rsid w:val="00C27768"/>
    <w:rsid w:val="00C3699A"/>
    <w:rsid w:val="00C3707F"/>
    <w:rsid w:val="00C4239A"/>
    <w:rsid w:val="00C5013E"/>
    <w:rsid w:val="00C506F6"/>
    <w:rsid w:val="00C516B9"/>
    <w:rsid w:val="00C60533"/>
    <w:rsid w:val="00C646D8"/>
    <w:rsid w:val="00C8343D"/>
    <w:rsid w:val="00C858AC"/>
    <w:rsid w:val="00C9124C"/>
    <w:rsid w:val="00CC29B7"/>
    <w:rsid w:val="00CC71E7"/>
    <w:rsid w:val="00CD1F5F"/>
    <w:rsid w:val="00CD2E82"/>
    <w:rsid w:val="00D01D3A"/>
    <w:rsid w:val="00D0684F"/>
    <w:rsid w:val="00D3065D"/>
    <w:rsid w:val="00D42CD3"/>
    <w:rsid w:val="00D43FB5"/>
    <w:rsid w:val="00D55694"/>
    <w:rsid w:val="00D60983"/>
    <w:rsid w:val="00D64C67"/>
    <w:rsid w:val="00D7298E"/>
    <w:rsid w:val="00D87875"/>
    <w:rsid w:val="00D90033"/>
    <w:rsid w:val="00D947D2"/>
    <w:rsid w:val="00D97453"/>
    <w:rsid w:val="00DA3178"/>
    <w:rsid w:val="00DC75C8"/>
    <w:rsid w:val="00DD44BB"/>
    <w:rsid w:val="00DE1730"/>
    <w:rsid w:val="00DE1B33"/>
    <w:rsid w:val="00DE602B"/>
    <w:rsid w:val="00E024BA"/>
    <w:rsid w:val="00E065E4"/>
    <w:rsid w:val="00E07897"/>
    <w:rsid w:val="00E131A1"/>
    <w:rsid w:val="00E1581E"/>
    <w:rsid w:val="00E33B5F"/>
    <w:rsid w:val="00E34816"/>
    <w:rsid w:val="00E70F52"/>
    <w:rsid w:val="00EB14E8"/>
    <w:rsid w:val="00EC45A7"/>
    <w:rsid w:val="00EC4938"/>
    <w:rsid w:val="00EC495F"/>
    <w:rsid w:val="00ED5BCA"/>
    <w:rsid w:val="00ED75C6"/>
    <w:rsid w:val="00EE46ED"/>
    <w:rsid w:val="00EF1854"/>
    <w:rsid w:val="00F02DE1"/>
    <w:rsid w:val="00F02EB7"/>
    <w:rsid w:val="00F1097E"/>
    <w:rsid w:val="00F202BE"/>
    <w:rsid w:val="00F21030"/>
    <w:rsid w:val="00F32D24"/>
    <w:rsid w:val="00F34D9A"/>
    <w:rsid w:val="00F36B77"/>
    <w:rsid w:val="00F40D53"/>
    <w:rsid w:val="00F43735"/>
    <w:rsid w:val="00F600F4"/>
    <w:rsid w:val="00F67C6E"/>
    <w:rsid w:val="00F71786"/>
    <w:rsid w:val="00F85577"/>
    <w:rsid w:val="00FA049D"/>
    <w:rsid w:val="00FA188A"/>
    <w:rsid w:val="00FA35F5"/>
    <w:rsid w:val="00FA5C40"/>
    <w:rsid w:val="00FB1FE0"/>
    <w:rsid w:val="00FB4249"/>
    <w:rsid w:val="00FC4BE6"/>
    <w:rsid w:val="00FE297D"/>
    <w:rsid w:val="00FE3D09"/>
    <w:rsid w:val="00FE5C73"/>
    <w:rsid w:val="026825AB"/>
    <w:rsid w:val="03800D34"/>
    <w:rsid w:val="03BE360A"/>
    <w:rsid w:val="04E37FFD"/>
    <w:rsid w:val="05726DA2"/>
    <w:rsid w:val="06700636"/>
    <w:rsid w:val="079C65B3"/>
    <w:rsid w:val="082045DB"/>
    <w:rsid w:val="0AFC3057"/>
    <w:rsid w:val="0C627450"/>
    <w:rsid w:val="0D074274"/>
    <w:rsid w:val="0E5A4FC2"/>
    <w:rsid w:val="0F7B4AA5"/>
    <w:rsid w:val="116E48C1"/>
    <w:rsid w:val="12510BC6"/>
    <w:rsid w:val="127E6D86"/>
    <w:rsid w:val="136F361C"/>
    <w:rsid w:val="139E304F"/>
    <w:rsid w:val="14B36158"/>
    <w:rsid w:val="15344AB2"/>
    <w:rsid w:val="16311102"/>
    <w:rsid w:val="182D7DBF"/>
    <w:rsid w:val="183F3E3F"/>
    <w:rsid w:val="1C485D0F"/>
    <w:rsid w:val="1C556DAA"/>
    <w:rsid w:val="21F229A5"/>
    <w:rsid w:val="22C2681B"/>
    <w:rsid w:val="23042E82"/>
    <w:rsid w:val="230C3F7A"/>
    <w:rsid w:val="25C805EC"/>
    <w:rsid w:val="26F15921"/>
    <w:rsid w:val="27167A8B"/>
    <w:rsid w:val="28171F7C"/>
    <w:rsid w:val="28400448"/>
    <w:rsid w:val="29573EC2"/>
    <w:rsid w:val="2A6A7EA4"/>
    <w:rsid w:val="2A900FAD"/>
    <w:rsid w:val="2AC1560A"/>
    <w:rsid w:val="2C4209CD"/>
    <w:rsid w:val="2CE12784"/>
    <w:rsid w:val="2D661EB8"/>
    <w:rsid w:val="2F653D5F"/>
    <w:rsid w:val="2FEF49C8"/>
    <w:rsid w:val="30517430"/>
    <w:rsid w:val="308D600D"/>
    <w:rsid w:val="30CB1722"/>
    <w:rsid w:val="31487F49"/>
    <w:rsid w:val="33923FE8"/>
    <w:rsid w:val="373C40C8"/>
    <w:rsid w:val="39ED5D50"/>
    <w:rsid w:val="3AF440B1"/>
    <w:rsid w:val="3B100DA9"/>
    <w:rsid w:val="3BF9207C"/>
    <w:rsid w:val="3CC80AFD"/>
    <w:rsid w:val="3E6C05EC"/>
    <w:rsid w:val="3E7419B2"/>
    <w:rsid w:val="3EE04627"/>
    <w:rsid w:val="402D7572"/>
    <w:rsid w:val="42C94FD6"/>
    <w:rsid w:val="43893EEA"/>
    <w:rsid w:val="456E54E2"/>
    <w:rsid w:val="46B67B95"/>
    <w:rsid w:val="47A81BD4"/>
    <w:rsid w:val="494D7A9F"/>
    <w:rsid w:val="4AAC06EE"/>
    <w:rsid w:val="4AC42881"/>
    <w:rsid w:val="4AF13892"/>
    <w:rsid w:val="4EE03A01"/>
    <w:rsid w:val="4EF4548C"/>
    <w:rsid w:val="510078F8"/>
    <w:rsid w:val="52D467EB"/>
    <w:rsid w:val="531A42D9"/>
    <w:rsid w:val="550753CD"/>
    <w:rsid w:val="57FA3D86"/>
    <w:rsid w:val="59686B4C"/>
    <w:rsid w:val="5C2C3C55"/>
    <w:rsid w:val="5C734895"/>
    <w:rsid w:val="605C4A7F"/>
    <w:rsid w:val="608F5287"/>
    <w:rsid w:val="6097122F"/>
    <w:rsid w:val="62E30FF8"/>
    <w:rsid w:val="63721B82"/>
    <w:rsid w:val="64662E85"/>
    <w:rsid w:val="68B017F9"/>
    <w:rsid w:val="6939071B"/>
    <w:rsid w:val="6A3F387A"/>
    <w:rsid w:val="6B9C3745"/>
    <w:rsid w:val="6BCE60A1"/>
    <w:rsid w:val="70F33611"/>
    <w:rsid w:val="75362050"/>
    <w:rsid w:val="758B206A"/>
    <w:rsid w:val="771816DB"/>
    <w:rsid w:val="7769640B"/>
    <w:rsid w:val="7AD4000F"/>
    <w:rsid w:val="7E525E1A"/>
    <w:rsid w:val="7EC4192C"/>
    <w:rsid w:val="7EF02F3D"/>
    <w:rsid w:val="7FA8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%20&#29615;&#22659;&#36136;&#37327;\&#29615;&#22659;&#36136;&#37327;&#20844;&#25253;\&#29615;&#22659;&#36136;&#37327;&#20844;&#25253;&#31561;&#22270;&#3492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%20&#29615;&#22659;&#36136;&#37327;\&#29615;&#22659;&#36136;&#37327;&#20844;&#25253;\&#29615;&#22659;&#36136;&#37327;&#20844;&#25253;&#31561;&#22270;&#34920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F%20&#29615;&#22659;&#36136;&#37327;\&#29615;&#22659;&#36136;&#37327;&#20844;&#25253;\&#29615;&#22659;&#36136;&#37327;&#20844;&#25253;&#31561;&#22270;&#3492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%20&#29615;&#22659;&#36136;&#37327;\&#29615;&#22659;&#36136;&#37327;&#20844;&#25253;\&#29615;&#22659;&#36136;&#37327;&#20844;&#25253;&#31561;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197478744085"/>
          <c:y val="0.0246555822153132"/>
          <c:w val="0.873664993069688"/>
          <c:h val="0.5417923190635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[环境质量公报等图表.xlsx]Sheet3!$A$4</c:f>
              <c:strCache>
                <c:ptCount val="1"/>
                <c:pt idx="0">
                  <c:v>2024年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70C0"/>
              </a:solidFill>
            </a:ln>
          </c:spPr>
          <c:invertIfNegative val="0"/>
          <c:dLbls>
            <c:dLbl>
              <c:idx val="0"/>
              <c:layout>
                <c:manualLayout>
                  <c:x val="-0.00207813798836243"/>
                  <c:y val="0.0071530758226036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114413768727787"/>
                  <c:y val="0.010729613733905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936329588014984"/>
                  <c:y val="0.015325670498084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702247191011236"/>
                  <c:y val="0.01149425287356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0702247191011236"/>
                  <c:y val="0.022988505747126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00936329588014984"/>
                  <c:y val="0.019157088122605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122294329792316"/>
                  <c:y val="0.00076459058497516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0936329588014984"/>
                  <c:y val="0.0076625335626150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00468164794007492"/>
                  <c:y val="0.0076628352490421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0623441396508728"/>
                  <c:y val="0.011494204318880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[环境质量公报等图表.xlsx]Sheet3!$B$1:$K$3</c:f>
              <c:multiLvlStrCache>
                <c:ptCount val="10"/>
                <c:lvl>
                  <c:pt idx="0">
                    <c:v>年均值</c:v>
                  </c:pt>
                  <c:pt idx="1">
                    <c:v>特定百分位数</c:v>
                  </c:pt>
                  <c:pt idx="2">
                    <c:v>年均值</c:v>
                  </c:pt>
                  <c:pt idx="3">
                    <c:v>特定百分位数</c:v>
                  </c:pt>
                  <c:pt idx="4">
                    <c:v>年均值</c:v>
                  </c:pt>
                  <c:pt idx="5">
                    <c:v>特定百分位数</c:v>
                  </c:pt>
                  <c:pt idx="6">
                    <c:v>特定百分位数</c:v>
                  </c:pt>
                  <c:pt idx="7">
                    <c:v>特定百分位数</c:v>
                  </c:pt>
                  <c:pt idx="8">
                    <c:v>年均值</c:v>
                  </c:pt>
                  <c:pt idx="9">
                    <c:v>特定百分位数</c:v>
                  </c:pt>
                </c:lvl>
                <c:lvl/>
                <c:lvl>
                  <c:pt idx="0">
                    <c:v>二氧化硫</c:v>
                  </c:pt>
                  <c:pt idx="2">
                    <c:v>二氧化氮</c:v>
                  </c:pt>
                  <c:pt idx="4">
                    <c:v>可吸入颗粒物</c:v>
                  </c:pt>
                  <c:pt idx="6">
                    <c:v>臭氧最大8小时</c:v>
                  </c:pt>
                  <c:pt idx="7">
                    <c:v>一氧化碳</c:v>
                  </c:pt>
                  <c:pt idx="8">
                    <c:v>细颗粒物</c:v>
                  </c:pt>
                </c:lvl>
              </c:multiLvlStrCache>
            </c:multiLvlStrRef>
          </c:cat>
          <c:val>
            <c:numRef>
              <c:f>[环境质量公报等图表.xlsx]Sheet3!$B$4:$K$4</c:f>
              <c:numCache>
                <c:formatCode>General</c:formatCode>
                <c:ptCount val="10"/>
                <c:pt idx="0">
                  <c:v>8</c:v>
                </c:pt>
                <c:pt idx="1">
                  <c:v>13</c:v>
                </c:pt>
                <c:pt idx="2">
                  <c:v>26</c:v>
                </c:pt>
                <c:pt idx="3">
                  <c:v>69</c:v>
                </c:pt>
                <c:pt idx="4">
                  <c:v>48</c:v>
                </c:pt>
                <c:pt idx="5">
                  <c:v>111</c:v>
                </c:pt>
                <c:pt idx="6">
                  <c:v>156</c:v>
                </c:pt>
                <c:pt idx="7">
                  <c:v>1.1</c:v>
                </c:pt>
                <c:pt idx="8">
                  <c:v>30</c:v>
                </c:pt>
                <c:pt idx="9">
                  <c:v>83</c:v>
                </c:pt>
              </c:numCache>
            </c:numRef>
          </c:val>
        </c:ser>
        <c:ser>
          <c:idx val="1"/>
          <c:order val="1"/>
          <c:tx>
            <c:strRef>
              <c:f>[环境质量公报等图表.xlsx]Sheet3!$A$5</c:f>
              <c:strCache>
                <c:ptCount val="1"/>
                <c:pt idx="0">
                  <c:v>二级标准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dLbls>
            <c:dLbl>
              <c:idx val="2"/>
              <c:layout>
                <c:manualLayout>
                  <c:x val="0"/>
                  <c:y val="0.0071530758226037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234082397003746"/>
                  <c:y val="0.0038314176245210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0234082397003746"/>
                  <c:y val="0.01149364950070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0132567204037151"/>
                  <c:y val="0.014306151645207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00468164794007492"/>
                  <c:y val="0.0038314176245211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00468164794007492"/>
                  <c:y val="0.01149425287356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00312882491932897"/>
                  <c:y val="0.0038314014396269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[环境质量公报等图表.xlsx]Sheet3!$B$1:$K$3</c:f>
              <c:multiLvlStrCache>
                <c:ptCount val="10"/>
                <c:lvl>
                  <c:pt idx="0">
                    <c:v>年均值</c:v>
                  </c:pt>
                  <c:pt idx="1">
                    <c:v>特定百分位数</c:v>
                  </c:pt>
                  <c:pt idx="2">
                    <c:v>年均值</c:v>
                  </c:pt>
                  <c:pt idx="3">
                    <c:v>特定百分位数</c:v>
                  </c:pt>
                  <c:pt idx="4">
                    <c:v>年均值</c:v>
                  </c:pt>
                  <c:pt idx="5">
                    <c:v>特定百分位数</c:v>
                  </c:pt>
                  <c:pt idx="6">
                    <c:v>特定百分位数</c:v>
                  </c:pt>
                  <c:pt idx="7">
                    <c:v>特定百分位数</c:v>
                  </c:pt>
                  <c:pt idx="8">
                    <c:v>年均值</c:v>
                  </c:pt>
                  <c:pt idx="9">
                    <c:v>特定百分位数</c:v>
                  </c:pt>
                </c:lvl>
                <c:lvl/>
                <c:lvl>
                  <c:pt idx="0">
                    <c:v>二氧化硫</c:v>
                  </c:pt>
                  <c:pt idx="2">
                    <c:v>二氧化氮</c:v>
                  </c:pt>
                  <c:pt idx="4">
                    <c:v>可吸入颗粒物</c:v>
                  </c:pt>
                  <c:pt idx="6">
                    <c:v>臭氧最大8小时</c:v>
                  </c:pt>
                  <c:pt idx="7">
                    <c:v>一氧化碳</c:v>
                  </c:pt>
                  <c:pt idx="8">
                    <c:v>细颗粒物</c:v>
                  </c:pt>
                </c:lvl>
              </c:multiLvlStrCache>
            </c:multiLvlStrRef>
          </c:cat>
          <c:val>
            <c:numRef>
              <c:f>[环境质量公报等图表.xlsx]Sheet3!$B$5:$K$5</c:f>
              <c:numCache>
                <c:formatCode>General</c:formatCode>
                <c:ptCount val="10"/>
                <c:pt idx="0">
                  <c:v>60</c:v>
                </c:pt>
                <c:pt idx="1">
                  <c:v>150</c:v>
                </c:pt>
                <c:pt idx="2">
                  <c:v>40</c:v>
                </c:pt>
                <c:pt idx="3">
                  <c:v>80</c:v>
                </c:pt>
                <c:pt idx="4">
                  <c:v>70</c:v>
                </c:pt>
                <c:pt idx="5">
                  <c:v>150</c:v>
                </c:pt>
                <c:pt idx="6">
                  <c:v>160</c:v>
                </c:pt>
                <c:pt idx="7">
                  <c:v>4</c:v>
                </c:pt>
                <c:pt idx="8">
                  <c:v>35</c:v>
                </c:pt>
                <c:pt idx="9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68741632"/>
        <c:axId val="269177600"/>
      </c:barChart>
      <c:catAx>
        <c:axId val="268741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69177600"/>
        <c:crosses val="autoZero"/>
        <c:auto val="1"/>
        <c:lblAlgn val="ctr"/>
        <c:lblOffset val="100"/>
        <c:noMultiLvlLbl val="0"/>
      </c:catAx>
      <c:valAx>
        <c:axId val="26917760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浓度： 微克</a:t>
                </a:r>
                <a:r>
                  <a:rPr lang="en-US" altLang="zh-CN"/>
                  <a:t>/</a:t>
                </a:r>
                <a:r>
                  <a:rPr lang="zh-CN" altLang="en-US"/>
                  <a:t>立方米</a:t>
                </a:r>
                <a:endParaRPr lang="zh-CN" alt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68741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0204849744906"/>
          <c:y val="0.0245865387516216"/>
          <c:w val="0.134334012703857"/>
          <c:h val="0.1385663860982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8986f5b-f429-4ff2-a4df-83b761c8c847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093085106383"/>
          <c:y val="0.0686945500633714"/>
          <c:w val="0.58311170212766"/>
          <c:h val="0.923700887198986"/>
        </c:manualLayout>
      </c:layout>
      <c:pie3DChart>
        <c:varyColors val="1"/>
        <c:ser>
          <c:idx val="0"/>
          <c:order val="0"/>
          <c:spPr>
            <a:solidFill>
              <a:srgbClr val="00CC00"/>
            </a:solidFill>
          </c:spPr>
          <c:explosion val="0"/>
          <c:dPt>
            <c:idx val="0"/>
            <c:bubble3D val="0"/>
            <c:spPr>
              <a:solidFill>
                <a:srgbClr val="66CCFF"/>
              </a:solidFill>
            </c:spPr>
          </c:dPt>
          <c:dPt>
            <c:idx val="1"/>
            <c:bubble3D val="0"/>
            <c:spPr>
              <a:solidFill>
                <a:srgbClr val="00FF00"/>
              </a:solidFill>
            </c:spPr>
          </c:dPt>
          <c:dPt>
            <c:idx val="2"/>
            <c:bubble3D val="0"/>
            <c:spPr>
              <a:solidFill>
                <a:srgbClr val="FFFF00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Pt>
            <c:idx val="4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4389436301978"/>
                  <c:y val="0.10258772638757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>
                        <a:solidFill>
                          <a:sysClr val="windowText" lastClr="000000"/>
                        </a:solidFill>
                      </a:rPr>
                      <a:t>优</a:t>
                    </a:r>
                    <a:r>
                      <a:rPr lang="zh-CN" altLang="en-US"/>
                      <a:t>                   </a:t>
                    </a:r>
                    <a:r>
                      <a:rPr lang="en-US" altLang="zh-CN"/>
                      <a:t>135</a:t>
                    </a:r>
                    <a:r>
                      <a:rPr lang="zh-CN" altLang="en-US"/>
                      <a:t>天</a:t>
                    </a:r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818987390901461"/>
                  <c:y val="-0.31969735454622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>
                        <a:solidFill>
                          <a:sysClr val="windowText" lastClr="000000"/>
                        </a:solidFill>
                      </a:rPr>
                      <a:t>良</a:t>
                    </a:r>
                    <a:r>
                      <a:rPr lang="zh-CN" altLang="en-US"/>
                      <a:t>                   </a:t>
                    </a:r>
                    <a:r>
                      <a:rPr lang="en-US" altLang="zh-CN"/>
                      <a:t>180</a:t>
                    </a:r>
                    <a:r>
                      <a:rPr lang="zh-CN" altLang="en-US"/>
                      <a:t>天</a:t>
                    </a:r>
                    <a:endParaRPr lang="zh-CN" altLang="en-US"/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26450066202593"/>
                  <c:y val="0.049001402883141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>
                        <a:solidFill>
                          <a:sysClr val="windowText" lastClr="000000"/>
                        </a:solidFill>
                      </a:rPr>
                      <a:t>轻</a:t>
                    </a:r>
                    <a:r>
                      <a:rPr lang="zh-CN" altLang="en-US"/>
                      <a:t>度污染  </a:t>
                    </a:r>
                    <a:endParaRPr lang="zh-CN" altLang="en-US"/>
                  </a:p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 </a:t>
                    </a:r>
                    <a:r>
                      <a:rPr lang="en-US" altLang="zh-CN"/>
                      <a:t>44</a:t>
                    </a:r>
                    <a:r>
                      <a:rPr lang="zh-CN" altLang="en-US"/>
                      <a:t>天</a:t>
                    </a:r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678280713445847"/>
                  <c:y val="0.034480274049527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>
                        <a:solidFill>
                          <a:sysClr val="windowText" lastClr="000000"/>
                        </a:solidFill>
                      </a:rPr>
                      <a:t>中度污染   </a:t>
                    </a:r>
                    <a:endParaRPr lang="zh-CN" altLang="en-US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>
                        <a:solidFill>
                          <a:sysClr val="windowText" lastClr="000000"/>
                        </a:solidFill>
                      </a:rPr>
                      <a:t>4</a:t>
                    </a:r>
                    <a:r>
                      <a:rPr lang="zh-CN" altLang="en-US">
                        <a:solidFill>
                          <a:sysClr val="windowText" lastClr="000000"/>
                        </a:solidFill>
                      </a:rPr>
                      <a:t>天</a:t>
                    </a:r>
                    <a:endParaRPr lang="zh-CN" alt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175442065015107"/>
                  <c:y val="-0.004020856666814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重度污染   </a:t>
                    </a:r>
                    <a:endParaRPr lang="zh-CN" altLang="en-US"/>
                  </a:p>
                  <a:p>
                    <a:pPr>
                      <a:defRPr lang="zh-CN"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3</a:t>
                    </a:r>
                    <a:r>
                      <a:rPr lang="zh-CN" altLang="en-US"/>
                      <a:t>天</a:t>
                    </a:r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</a:ln>
                  </c:spPr>
                </c15:leaderLines>
              </c:ext>
            </c:extLst>
          </c:dLbls>
          <c:cat>
            <c:strRef>
              <c:f>[环境质量公报等图表.xlsx]Sheet3!$S$2:$S$6</c:f>
              <c:strCache>
                <c:ptCount val="5"/>
                <c:pt idx="0">
                  <c:v>优                 占36.9%</c:v>
                </c:pt>
                <c:pt idx="1">
                  <c:v>良                 占 49.2%</c:v>
                </c:pt>
                <c:pt idx="2">
                  <c:v>轻度污染    占12.0%</c:v>
                </c:pt>
                <c:pt idx="3">
                  <c:v>中度污染    占 1.1%</c:v>
                </c:pt>
                <c:pt idx="4">
                  <c:v>重度污染      占0.8%</c:v>
                </c:pt>
              </c:strCache>
            </c:strRef>
          </c:cat>
          <c:val>
            <c:numRef>
              <c:f>[环境质量公报等图表.xlsx]Sheet3!$T$2:$T$6</c:f>
              <c:numCache>
                <c:formatCode>General</c:formatCode>
                <c:ptCount val="5"/>
                <c:pt idx="0">
                  <c:v>135</c:v>
                </c:pt>
                <c:pt idx="1">
                  <c:v>180</c:v>
                </c:pt>
                <c:pt idx="2">
                  <c:v>44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</c:plotArea>
    <c:legend>
      <c:legendPos val="r"/>
      <c:layout>
        <c:manualLayout>
          <c:xMode val="edge"/>
          <c:yMode val="edge"/>
          <c:x val="0.696292937204839"/>
          <c:y val="0.285825770993696"/>
          <c:w val="0.29934406104996"/>
          <c:h val="0.36580335150413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2de7cac-66fe-49d4-9a65-90c373b86d40}"/>
      </c:ext>
    </c:extLst>
  </c:chart>
  <c:spPr>
    <a:solidFill>
      <a:sysClr val="window" lastClr="FFFFFF"/>
    </a:solidFill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41176470588235"/>
          <c:y val="0.190341653404973"/>
          <c:w val="0.835376421697288"/>
          <c:h val="0.69978419364246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[环境质量公报等图表.xlsx]Sheet3!$A$37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013888888888888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/>
                      <a:t>86.1%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326797385620916"/>
                  <c:y val="4.2437781360066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[环境质量公报等图表.xlsx]Sheet3!$B$35:$C$35</c:f>
              <c:strCache>
                <c:ptCount val="2"/>
                <c:pt idx="0">
                  <c:v>优良率</c:v>
                </c:pt>
                <c:pt idx="1">
                  <c:v>空气质量综合指数</c:v>
                </c:pt>
              </c:strCache>
            </c:strRef>
          </c:cat>
          <c:val>
            <c:numRef>
              <c:f>[环境质量公报等图表.xlsx]Sheet3!$B$37:$C$37</c:f>
              <c:numCache>
                <c:formatCode>General</c:formatCode>
                <c:ptCount val="2"/>
                <c:pt idx="0">
                  <c:v>4.92</c:v>
                </c:pt>
                <c:pt idx="1" c:formatCode="0.00_ ">
                  <c:v>4.1</c:v>
                </c:pt>
              </c:numCache>
            </c:numRef>
          </c:val>
        </c:ser>
        <c:ser>
          <c:idx val="0"/>
          <c:order val="1"/>
          <c:tx>
            <c:strRef>
              <c:f>[环境质量公报等图表.xlsx]Sheet3!$A$36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.0185185185185186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/>
                      <a:t>82.5%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[环境质量公报等图表.xlsx]Sheet3!$B$35:$C$35</c:f>
              <c:strCache>
                <c:ptCount val="2"/>
                <c:pt idx="0">
                  <c:v>优良率</c:v>
                </c:pt>
                <c:pt idx="1">
                  <c:v>空气质量综合指数</c:v>
                </c:pt>
              </c:strCache>
            </c:strRef>
          </c:cat>
          <c:val>
            <c:numRef>
              <c:f>[环境质量公报等图表.xlsx]Sheet3!$B$36:$C$36</c:f>
              <c:numCache>
                <c:formatCode>General</c:formatCode>
                <c:ptCount val="2"/>
                <c:pt idx="0">
                  <c:v>4.71428571428571</c:v>
                </c:pt>
                <c:pt idx="1">
                  <c:v>4.18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47432064"/>
        <c:axId val="47433600"/>
      </c:barChart>
      <c:catAx>
        <c:axId val="47432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7433600"/>
        <c:crosses val="autoZero"/>
        <c:auto val="1"/>
        <c:lblAlgn val="ctr"/>
        <c:lblOffset val="100"/>
        <c:noMultiLvlLbl val="0"/>
      </c:catAx>
      <c:valAx>
        <c:axId val="4743360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7432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66370573744073"/>
          <c:y val="0.37366839722784"/>
          <c:w val="0.143748443397131"/>
          <c:h val="0.167434383202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9ff266c-e3b8-4eac-8c3c-462674de38c7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4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>
                <a:solidFill>
                  <a:srgbClr val="0070C0"/>
                </a:solidFill>
              </a:rPr>
              <a:t>达到或优于</a:t>
            </a:r>
            <a:r>
              <a:rPr lang="en-US" altLang="zh-CN" sz="1400">
                <a:solidFill>
                  <a:srgbClr val="0070C0"/>
                </a:solidFill>
              </a:rPr>
              <a:t>Ⅲ</a:t>
            </a:r>
            <a:r>
              <a:rPr lang="zh-CN" altLang="en-US" sz="1400">
                <a:solidFill>
                  <a:srgbClr val="0070C0"/>
                </a:solidFill>
              </a:rPr>
              <a:t>类水质断面比例</a:t>
            </a:r>
            <a:endParaRPr lang="zh-CN" altLang="en-US" sz="1400">
              <a:solidFill>
                <a:srgbClr val="0070C0"/>
              </a:solidFill>
            </a:endParaRPr>
          </a:p>
        </c:rich>
      </c:tx>
      <c:layout>
        <c:manualLayout>
          <c:xMode val="edge"/>
          <c:yMode val="edge"/>
          <c:x val="0.25077263519556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6599573230842"/>
          <c:y val="0.131302475312133"/>
          <c:w val="0.734176680767519"/>
          <c:h val="0.7620370370370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[环境质量公报等图表.xlsx]Sheet3!$F$64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[环境质量公报等图表.xlsx]Sheet3!$C$65:$E$70</c:f>
              <c:multiLvlStrCache>
                <c:ptCount val="6"/>
                <c:lvl/>
                <c:lvl/>
                <c:lvl>
                  <c:pt idx="0">
                    <c:v>   市控                    监测断面</c:v>
                  </c:pt>
                  <c:pt idx="1">
                    <c:v>通江河道                   监测断面</c:v>
                  </c:pt>
                  <c:pt idx="2">
                    <c:v>国、省考                   监测断面</c:v>
                  </c:pt>
                  <c:pt idx="3">
                    <c:v>城区河道                   监测断面</c:v>
                  </c:pt>
                  <c:pt idx="4">
                    <c:v>主要河流                   监测断面</c:v>
                  </c:pt>
                  <c:pt idx="5">
                    <c:v>苏州市考                   监测断面</c:v>
                  </c:pt>
                </c:lvl>
              </c:multiLvlStrCache>
            </c:multiLvlStrRef>
          </c:cat>
          <c:val>
            <c:numRef>
              <c:f>[环境质量公报等图表.xlsx]Sheet3!$F$65:$F$70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[环境质量公报等图表.xlsx]Sheet3!$G$64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[环境质量公报等图表.xlsx]Sheet3!$C$65:$E$70</c:f>
              <c:multiLvlStrCache>
                <c:ptCount val="6"/>
                <c:lvl/>
                <c:lvl/>
                <c:lvl>
                  <c:pt idx="0">
                    <c:v>   市控                    监测断面</c:v>
                  </c:pt>
                  <c:pt idx="1">
                    <c:v>通江河道                   监测断面</c:v>
                  </c:pt>
                  <c:pt idx="2">
                    <c:v>国、省考                   监测断面</c:v>
                  </c:pt>
                  <c:pt idx="3">
                    <c:v>城区河道                   监测断面</c:v>
                  </c:pt>
                  <c:pt idx="4">
                    <c:v>主要河流                   监测断面</c:v>
                  </c:pt>
                  <c:pt idx="5">
                    <c:v>苏州市考                   监测断面</c:v>
                  </c:pt>
                </c:lvl>
              </c:multiLvlStrCache>
            </c:multiLvlStrRef>
          </c:cat>
          <c:val>
            <c:numRef>
              <c:f>[环境质量公报等图表.xlsx]Sheet3!$G$65:$G$70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811968"/>
        <c:axId val="255813504"/>
      </c:barChart>
      <c:catAx>
        <c:axId val="2558119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</a:p>
        </c:txPr>
        <c:crossAx val="255813504"/>
        <c:crosses val="autoZero"/>
        <c:auto val="1"/>
        <c:lblAlgn val="ctr"/>
        <c:lblOffset val="100"/>
        <c:noMultiLvlLbl val="0"/>
      </c:catAx>
      <c:valAx>
        <c:axId val="255813504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5811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0464371430592"/>
          <c:y val="0.866282754020388"/>
          <c:w val="0.33350366663755"/>
          <c:h val="0.133717245979612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7529e8d-5fee-4753-b125-185dcd1f5a32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0.69451</cdr:x>
      <cdr:y>0.17777</cdr:y>
    </cdr:from>
    <cdr:to>
      <cdr:x>0.79284</cdr:x>
      <cdr:y>0.25833</cdr:y>
    </cdr:to>
    <cdr:sp>
      <cdr:nvSpPr>
        <cdr:cNvPr id="2" name="上弧形箭头 1"/>
        <cdr:cNvSpPr/>
      </cdr:nvSpPr>
      <cdr:spPr xmlns:a="http://schemas.openxmlformats.org/drawingml/2006/main">
        <a:xfrm xmlns:a="http://schemas.openxmlformats.org/drawingml/2006/main">
          <a:off x="2699017" y="487668"/>
          <a:ext cx="382130" cy="220992"/>
        </a:xfrm>
        <a:prstGeom xmlns:a="http://schemas.openxmlformats.org/drawingml/2006/main" prst="curvedDownArrow">
          <a:avLst>
            <a:gd name="adj1" fmla="val 38577"/>
            <a:gd name="adj2" fmla="val 50000"/>
            <a:gd name="adj3" fmla="val 25000"/>
          </a:avLst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 xmlns:a="http://schemas.openxmlformats.org/drawingml/2006/main">
        <a:bodyPr vertOverflow="clip" vert="horz" wrap="none" lIns="45720" tIns="45720" rIns="45720" bIns="45720" anchor="t" anchorCtr="0">
          <a:normAutofit/>
        </a:bodyPr>
        <a:lstStyle/>
        <a:p>
          <a:endParaRPr lang="zh-CN"/>
        </a:p>
      </cdr:txBody>
    </cdr:sp>
  </cdr:relSizeAnchor>
  <cdr:relSizeAnchor xmlns:cdr="http://schemas.openxmlformats.org/drawingml/2006/chartDrawing">
    <cdr:from>
      <cdr:x>0.279025670945158</cdr:x>
      <cdr:y>0.0866408518877057</cdr:y>
    </cdr:from>
    <cdr:to>
      <cdr:x>0.390169194865811</cdr:x>
      <cdr:y>0.175459825750242</cdr:y>
    </cdr:to>
    <cdr:sp>
      <cdr:nvSpPr>
        <cdr:cNvPr id="3" name="下弧形箭头 2"/>
        <cdr:cNvSpPr/>
      </cdr:nvSpPr>
      <cdr:spPr xmlns:a="http://schemas.openxmlformats.org/drawingml/2006/main">
        <a:xfrm xmlns:a="http://schemas.openxmlformats.org/drawingml/2006/main" rot="21192449">
          <a:off x="1214755" y="227330"/>
          <a:ext cx="483870" cy="233045"/>
        </a:xfrm>
        <a:prstGeom xmlns:a="http://schemas.openxmlformats.org/drawingml/2006/main" prst="curvedUpArrow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 xmlns:a="http://schemas.openxmlformats.org/drawingml/2006/main">
        <a:bodyPr vertOverflow="clip" vert="horz" wrap="none" lIns="45720" tIns="45720" rIns="45720" bIns="45720" anchor="t" anchorCtr="0">
          <a:normAutofit/>
        </a:bodyPr>
        <a:lstStyle/>
        <a:p>
          <a:endParaRPr lang="zh-CN"/>
        </a:p>
      </cdr:txBody>
    </cdr:sp>
  </cdr:relSizeAnchor>
  <cdr:relSizeAnchor xmlns:cdr="http://schemas.openxmlformats.org/drawingml/2006/chartDrawing">
    <cdr:from>
      <cdr:x>0.117998833138856</cdr:x>
      <cdr:y>0</cdr:y>
    </cdr:from>
    <cdr:to>
      <cdr:x>0.468640606767795</cdr:x>
      <cdr:y>0.0897870280735721</cdr:y>
    </cdr:to>
    <cdr:sp>
      <cdr:nvSpPr>
        <cdr:cNvPr id="4" name="矩形 3"/>
        <cdr:cNvSpPr/>
      </cdr:nvSpPr>
      <cdr:spPr xmlns:a="http://schemas.openxmlformats.org/drawingml/2006/main">
        <a:xfrm xmlns:a="http://schemas.openxmlformats.org/drawingml/2006/main">
          <a:off x="513715" y="0"/>
          <a:ext cx="1526540" cy="23558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square" lIns="45720" tIns="45720" rIns="45720" bIns="45720" rtlCol="0" anchor="t" anchorCtr="0">
          <a:normAutofit/>
        </a:bodyPr>
        <a:lstStyle/>
        <a:p>
          <a:r>
            <a:rPr lang="en-US" altLang="zh-CN" sz="1100" b="1">
              <a:solidFill>
                <a:srgbClr val="0070C0"/>
              </a:solidFill>
            </a:rPr>
            <a:t>               </a:t>
          </a:r>
          <a:r>
            <a:rPr lang="zh-CN" altLang="en-US" sz="1100" b="1">
              <a:solidFill>
                <a:srgbClr val="0070C0"/>
              </a:solidFill>
            </a:rPr>
            <a:t>提高 </a:t>
          </a:r>
          <a:r>
            <a:rPr lang="en-US" altLang="zh-CN" sz="1100" b="1">
              <a:solidFill>
                <a:srgbClr val="0070C0"/>
              </a:solidFill>
            </a:rPr>
            <a:t>3.6</a:t>
          </a:r>
          <a:r>
            <a:rPr lang="zh-CN" altLang="en-US" sz="1100" b="1">
              <a:solidFill>
                <a:srgbClr val="0070C0"/>
              </a:solidFill>
            </a:rPr>
            <a:t>%</a:t>
          </a:r>
          <a:endParaRPr lang="zh-CN" altLang="en-US" sz="1100" b="1">
            <a:solidFill>
              <a:srgbClr val="0070C0"/>
            </a:solidFill>
          </a:endParaRPr>
        </a:p>
      </cdr:txBody>
    </cdr:sp>
  </cdr:relSizeAnchor>
  <cdr:relSizeAnchor xmlns:cdr="http://schemas.openxmlformats.org/drawingml/2006/chartDrawing">
    <cdr:from>
      <cdr:x>0.64706</cdr:x>
      <cdr:y>0.05834</cdr:y>
    </cdr:from>
    <cdr:to>
      <cdr:x>0.88627</cdr:x>
      <cdr:y>0.15556</cdr:y>
    </cdr:to>
    <cdr:sp>
      <cdr:nvSpPr>
        <cdr:cNvPr id="5" name="矩形 4"/>
        <cdr:cNvSpPr/>
      </cdr:nvSpPr>
      <cdr:spPr xmlns:a="http://schemas.openxmlformats.org/drawingml/2006/main">
        <a:xfrm xmlns:a="http://schemas.openxmlformats.org/drawingml/2006/main">
          <a:off x="2514600" y="160032"/>
          <a:ext cx="929640" cy="26669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square" lIns="45720" tIns="45720" rIns="45720" bIns="45720" rtlCol="0" anchor="t" anchorCtr="0">
          <a:normAutofit/>
        </a:bodyPr>
        <a:lstStyle/>
        <a:p>
          <a:r>
            <a:rPr lang="zh-CN" altLang="en-US" sz="1100" b="1">
              <a:solidFill>
                <a:srgbClr val="0070C0"/>
              </a:solidFill>
            </a:rPr>
            <a:t>下降</a:t>
          </a:r>
          <a:r>
            <a:rPr lang="en-US" altLang="zh-CN" sz="1100" b="1">
              <a:solidFill>
                <a:srgbClr val="0070C0"/>
              </a:solidFill>
            </a:rPr>
            <a:t>1.9%</a:t>
          </a:r>
          <a:endParaRPr lang="zh-CN" altLang="en-US" sz="1100" b="1">
            <a:solidFill>
              <a:srgbClr val="0070C0"/>
            </a:solidFill>
          </a:endParaRPr>
        </a:p>
      </cdr:txBody>
    </cdr:sp>
  </cdr:relSizeAnchor>
</c:userShape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流畅">
  <a:themeElements>
    <a:clrScheme name="流畅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流畅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流畅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22D451-6BF9-4AE6-8367-1E0744C5E8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937</Words>
  <Characters>1064</Characters>
  <Lines>8</Lines>
  <Paragraphs>2</Paragraphs>
  <TotalTime>0</TotalTime>
  <ScaleCrop>false</ScaleCrop>
  <LinksUpToDate>false</LinksUpToDate>
  <CharactersWithSpaces>1066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2023-05-19T02:15:00Z</dcterms:created>
  <dc:creator>微软用户</dc:creator>
  <cp:lastModifiedBy>勿匆匆</cp:lastModifiedBy>
  <cp:lastPrinted>2020-04-14T06:38:00Z</cp:lastPrinted>
  <dcterms:modified xsi:type="dcterms:W3CDTF">2025-06-03T01:45:56Z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B86D6785AABC40D89EF3232C5C2788D4_12</vt:lpwstr>
  </property>
  <property fmtid="{D5CDD505-2E9C-101B-9397-08002B2CF9AE}" pid="4" name="KSOTemplateDocerSaveRecord">
    <vt:lpwstr>eyJoZGlkIjoiY2NiNWQ1OTczMTAyYTZiNTZjMmE1ZjdmNjU4ODc2ZjQiLCJ1c2VySWQiOiIxMzU5MzU3OTA2In0=</vt:lpwstr>
  </property>
</Properties>
</file>