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CC6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0" w:after="260" w:line="224" w:lineRule="auto"/>
        <w:jc w:val="center"/>
        <w:textAlignment w:val="baseline"/>
        <w:rPr>
          <w:rStyle w:val="8"/>
          <w:rFonts w:hint="default" w:ascii="Times New Roman" w:hAnsi="Times New Roman" w:cs="Times New Roman"/>
          <w:color w:val="auto"/>
          <w:highlight w:val="none"/>
          <w:lang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highlight w:val="none"/>
          <w:lang w:eastAsia="zh-CN" w:bidi="ar"/>
        </w:rPr>
        <w:t>202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highlight w:val="none"/>
          <w:lang w:val="en-US" w:eastAsia="zh-CN" w:bidi="ar"/>
        </w:rPr>
        <w:t>5</w:t>
      </w:r>
      <w:r>
        <w:rPr>
          <w:rStyle w:val="8"/>
          <w:rFonts w:hint="default" w:ascii="Times New Roman" w:hAnsi="Times New Roman" w:cs="Times New Roman"/>
          <w:color w:val="auto"/>
          <w:highlight w:val="none"/>
          <w:lang w:eastAsia="zh-CN" w:bidi="ar"/>
        </w:rPr>
        <w:t>年</w:t>
      </w:r>
      <w:r>
        <w:rPr>
          <w:rStyle w:val="8"/>
          <w:rFonts w:hint="default" w:ascii="Times New Roman" w:hAnsi="Times New Roman" w:cs="Times New Roman"/>
          <w:color w:val="auto"/>
          <w:highlight w:val="none"/>
          <w:lang w:val="en-US" w:eastAsia="zh-CN" w:bidi="ar"/>
        </w:rPr>
        <w:t>张家港</w:t>
      </w:r>
      <w:r>
        <w:rPr>
          <w:rStyle w:val="8"/>
          <w:rFonts w:hint="default" w:ascii="Times New Roman" w:hAnsi="Times New Roman" w:cs="Times New Roman"/>
          <w:color w:val="auto"/>
          <w:highlight w:val="none"/>
          <w:lang w:eastAsia="zh-CN" w:bidi="ar"/>
        </w:rPr>
        <w:t>市政府性基金项目目录</w:t>
      </w:r>
    </w:p>
    <w:p w14:paraId="12A0E055">
      <w:pPr>
        <w:jc w:val="center"/>
        <w:textAlignment w:val="center"/>
        <w:rPr>
          <w:rStyle w:val="9"/>
          <w:rFonts w:hint="default" w:ascii="Times New Roman" w:hAnsi="Times New Roman" w:cs="Times New Roman"/>
          <w:color w:val="auto"/>
          <w:highlight w:val="none"/>
          <w:lang w:eastAsia="zh-CN" w:bidi="ar"/>
        </w:rPr>
      </w:pPr>
    </w:p>
    <w:tbl>
      <w:tblPr>
        <w:tblStyle w:val="6"/>
        <w:tblW w:w="498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93"/>
        <w:gridCol w:w="3257"/>
        <w:gridCol w:w="4770"/>
        <w:gridCol w:w="3324"/>
      </w:tblGrid>
      <w:tr w14:paraId="1B6E9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218E90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Style w:val="9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序号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7ED9AF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Style w:val="9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项目名称</w:t>
            </w:r>
          </w:p>
        </w:tc>
        <w:tc>
          <w:tcPr>
            <w:tcW w:w="11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6D78D0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Style w:val="9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征收标准</w:t>
            </w:r>
          </w:p>
        </w:tc>
        <w:tc>
          <w:tcPr>
            <w:tcW w:w="17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23FDFD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Style w:val="9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收费及资金管理文件依据</w:t>
            </w: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8B7B4C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Style w:val="9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备注</w:t>
            </w:r>
          </w:p>
        </w:tc>
      </w:tr>
      <w:tr w14:paraId="2391D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64E5FD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Style w:val="10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一、收入归属地方（或地方参与分成）的政府性基金项目（</w:t>
            </w:r>
            <w:r>
              <w:rPr>
                <w:rStyle w:val="10"/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7</w:t>
            </w:r>
            <w:r>
              <w:rPr>
                <w:rStyle w:val="10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项）</w:t>
            </w:r>
          </w:p>
        </w:tc>
      </w:tr>
      <w:tr w14:paraId="3A5FA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2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31D253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9802F4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森林植被恢复费</w:t>
            </w:r>
          </w:p>
        </w:tc>
        <w:tc>
          <w:tcPr>
            <w:tcW w:w="11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66FFAD"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区分使用林地情况，标准为</w:t>
            </w:r>
            <w:r>
              <w:rPr>
                <w:rStyle w:val="13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</w:t>
            </w: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－</w:t>
            </w:r>
            <w:r>
              <w:rPr>
                <w:rStyle w:val="13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40</w:t>
            </w: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元</w:t>
            </w:r>
            <w:r>
              <w:rPr>
                <w:rStyle w:val="13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/</w:t>
            </w: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平方米。</w:t>
            </w:r>
          </w:p>
        </w:tc>
        <w:tc>
          <w:tcPr>
            <w:tcW w:w="17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0C296C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《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中华人民共和国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森林法》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，苏农林〔1993〕03号、苏财综〔93〕5号、苏价费联〔1993〕4号，财综〔2002〕73号，苏财综〔2003〕13号，财税〔2015〕122号，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财税〔20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〕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号，财税〔20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〕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，苏财综〔2016〕20号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6DAE23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农村居民规定标准住宅、农村集体经济组织修建的公益性项目及保障性安居工程减免</w:t>
            </w:r>
          </w:p>
        </w:tc>
      </w:tr>
      <w:tr w14:paraId="6DC7F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01DC00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2B2444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水利建设基金</w:t>
            </w:r>
          </w:p>
        </w:tc>
        <w:tc>
          <w:tcPr>
            <w:tcW w:w="11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1ABA6C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　</w:t>
            </w:r>
          </w:p>
        </w:tc>
        <w:tc>
          <w:tcPr>
            <w:tcW w:w="17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F92FE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国发〔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1997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7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</w:t>
            </w:r>
            <w:r>
              <w:rPr>
                <w:rStyle w:val="14"/>
                <w:rFonts w:hint="eastAsia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《</w:t>
            </w:r>
            <w:r>
              <w:rPr>
                <w:rStyle w:val="14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中华人民共和国防洪法</w:t>
            </w:r>
            <w:r>
              <w:rPr>
                <w:rStyle w:val="14"/>
                <w:rFonts w:hint="eastAsia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》，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财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综字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〔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1998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〕12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号，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2002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33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2002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92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号，财综函〔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33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号，财办综〔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111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财税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函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〔201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〕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291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号，财税〔201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〕12号，财税〔201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〕1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，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苏政发〔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66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财税〔20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〕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号，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财税〔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2020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72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</w:t>
            </w:r>
            <w:r>
              <w:rPr>
                <w:rStyle w:val="14"/>
                <w:rFonts w:hint="eastAsia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财税〔20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〕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号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1DAD89">
            <w:pPr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eastAsia="zh-CN" w:bidi="ar"/>
              </w:rPr>
              <w:t>　</w:t>
            </w:r>
          </w:p>
        </w:tc>
      </w:tr>
      <w:tr w14:paraId="78B1F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2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404E0D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　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9C7264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Style w:val="13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(1)</w:t>
            </w: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按规定提取和安排</w:t>
            </w:r>
          </w:p>
        </w:tc>
        <w:tc>
          <w:tcPr>
            <w:tcW w:w="11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C15AEA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市、县水利建设基金的来源为：市、县收取的城市基础设施配套费提取3％，城建税中划出不少于15%用于城市防洪和水源工程建设，市县人民政府确定的政府性基金和行政事业性收费项目提取部分。</w:t>
            </w:r>
          </w:p>
        </w:tc>
        <w:tc>
          <w:tcPr>
            <w:tcW w:w="17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523CE1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苏政发〔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2023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62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A8F2D4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　</w:t>
            </w:r>
          </w:p>
        </w:tc>
      </w:tr>
      <w:tr w14:paraId="35195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6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680734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　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2746E9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Style w:val="13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(2)</w:t>
            </w: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农业重点开发建设资金</w:t>
            </w:r>
          </w:p>
        </w:tc>
        <w:tc>
          <w:tcPr>
            <w:tcW w:w="11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4A16B1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国家、集体、个人非农业建设新征(拨)占用土地时缴纳，2400元/亩。</w:t>
            </w:r>
          </w:p>
          <w:p w14:paraId="0D19219B">
            <w:pPr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扣除2%业务费、1%奖励后，省60%、市10%、县区30%。</w:t>
            </w:r>
          </w:p>
        </w:tc>
        <w:tc>
          <w:tcPr>
            <w:tcW w:w="17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5F91ED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苏政办发〔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1995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号，财综字〔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1998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143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1999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90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号，苏政办发〔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77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号、苏政发〔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105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号，苏政办发〔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115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号，苏政办发〔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137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号，苏价费〔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2009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291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2009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47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号，苏发改服价发〔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2018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1348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号，财税〔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2020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72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</w:t>
            </w:r>
            <w:r>
              <w:rPr>
                <w:rStyle w:val="18"/>
                <w:rFonts w:hint="eastAsia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，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苏财综〔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</w:t>
            </w: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9A3AD3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中小学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(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含幼儿园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)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校舍安全工程建设免收。自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月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日起继续征收，截止日期财政部另行明确。</w:t>
            </w:r>
          </w:p>
        </w:tc>
      </w:tr>
      <w:tr w14:paraId="7A676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430476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3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F775E3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文化事业建设费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C07AF6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各种营业性娱乐场所和广播电台、电视台和报纸、刊物等广告媒介单位以及户外广告经营单位营业收入的</w:t>
            </w:r>
            <w:r>
              <w:rPr>
                <w:rStyle w:val="13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3%</w:t>
            </w: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，营改增试点行业按提供增值税应税服务取得的销售额的</w:t>
            </w:r>
            <w:r>
              <w:rPr>
                <w:rStyle w:val="13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</w:t>
            </w: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％计征。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省集中市县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20%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。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AAA5FA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国发〔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37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财</w:t>
            </w:r>
            <w:r>
              <w:rPr>
                <w:rStyle w:val="18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预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字〔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</w:t>
            </w:r>
            <w:r>
              <w:rPr>
                <w:rStyle w:val="15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469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</w:t>
            </w:r>
            <w:r>
              <w:rPr>
                <w:rStyle w:val="18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文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字〔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1997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243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</w:t>
            </w:r>
            <w:r>
              <w:rPr>
                <w:rStyle w:val="18"/>
                <w:rFonts w:hint="eastAsia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，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国办发〔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43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14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号，苏发〔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74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33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</w:t>
            </w:r>
            <w:r>
              <w:rPr>
                <w:rStyle w:val="18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综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〔</w:t>
            </w:r>
            <w:r>
              <w:rPr>
                <w:rStyle w:val="15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2007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3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92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68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96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2013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号，财税〔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2014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122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2015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号，财税〔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25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号，财税〔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60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53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号，财税〔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号，财政部、国家税务总局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2020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年第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25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号公告、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年第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7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公告，苏政规〔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2023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</w:t>
            </w:r>
            <w:r>
              <w:rPr>
                <w:rStyle w:val="14"/>
                <w:rFonts w:hint="eastAsia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，</w:t>
            </w:r>
            <w:r>
              <w:rPr>
                <w:rStyle w:val="14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财税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</w:t>
            </w:r>
            <w:r>
              <w:rPr>
                <w:rStyle w:val="17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5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4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7号，苏财综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</w:t>
            </w:r>
            <w:r>
              <w:rPr>
                <w:rStyle w:val="17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5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4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10号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AD233F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增值税小规模纳税人中月销售额不超过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万元（按季纳税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万元）的企业和非企业性单位提供的应税服务免征。自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7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月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日至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</w:t>
            </w:r>
            <w:r>
              <w:rPr>
                <w:rStyle w:val="15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7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月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日，对归属中央和地方收入的文化事业建设费，统一按照缴纳义务人应缴费额的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50%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减征。</w:t>
            </w:r>
          </w:p>
        </w:tc>
      </w:tr>
      <w:tr w14:paraId="71221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6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DE199F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4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2761C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教育费附加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CBE98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我市所有缴纳增值税、消费税的单位和个人实际缴纳额的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3%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。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教育费附加为市县收入，按征收级次缴入同级国库。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818A0A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《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中华人民共和国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教育法》，国务院令第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60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号，国发〔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1986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50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号，中发〔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国发明电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〔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1994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2号、23号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，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国发〔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2010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1994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1998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118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92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2010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98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号、苏政发〔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号，苏价服〔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159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财税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〔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2010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103号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，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2014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122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财综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〔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2015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57号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，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18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财税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〔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2019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21号，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财税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〔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2019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22号，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苏财税〔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号，财政部、国家税务总局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年第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30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号公告、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年第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号公告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、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2023年第12号公告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，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财政部、税务总局、住房城乡建设部2023年第70号公告，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苏财税〔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2007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53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号，国办发〔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99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号，苏政办发〔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号，苏政办规〔2023〕9号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678D97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保障性安居工程建设免收。自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2016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月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日起，纳税的月销售额或营业额不超过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万元（含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万元）以及按季纳税的季度销售额或营业额不超过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30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万元（含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30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万元）的缴纳义务人免征。自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月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日起，纳入产教融合型企业建设培育范围的试点企业，符合规定的，可按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30%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比例，抵免当年应缴教育费附加</w:t>
            </w:r>
            <w:r>
              <w:rPr>
                <w:rStyle w:val="18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和地方教育附加</w:t>
            </w:r>
            <w:r>
              <w:rPr>
                <w:rStyle w:val="18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。</w:t>
            </w:r>
          </w:p>
        </w:tc>
      </w:tr>
      <w:tr w14:paraId="7D6D0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CB3E84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5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17B4DD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地方教育附加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1E161D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我市所有缴纳增值税、消费税的单位和个人实际缴纳额的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2%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。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地方教育附加实行省与市县分成，5%为省级收入缴入省级国库，95%为市县收入按征收级次缴入同级国库。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FC860B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《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中华人民共和国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教育法》，中发〔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号，国发〔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1994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1994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58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号，财综函〔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2010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98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号、苏政发〔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号，苏价服〔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159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18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号、苏财综〔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号，财政部、国家税务总局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年第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30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号公告、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年第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号公告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、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2023年第12号公告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，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财政部、税务总局、住房城乡建设部2023年第70号公告，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苏财税〔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6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2007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53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号，国办发〔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45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号，财综〔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2012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99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号，苏政办发〔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2021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〕</w:t>
            </w:r>
            <w:r>
              <w:rPr>
                <w:rStyle w:val="17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101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号，苏政办规〔2023〕9号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81E34A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在法律未作调整的情况下继续保留，保障性安居工程建设免收。自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2016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月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日起，纳税的月销售额或营业额不超过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万元（含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10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万元）以及按季纳税的季度销售额或营业额不超过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30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万元（含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30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万元）的缴纳义务人免征。自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2019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年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月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1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日起，纳入产教融合型企业建设培育范围的试点企业，符合规定的，可按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30%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比例，抵免当年应缴</w:t>
            </w:r>
            <w:r>
              <w:rPr>
                <w:rStyle w:val="14"/>
                <w:rFonts w:hint="eastAsia" w:ascii="Times New Roman" w:hAnsi="Times New Roman" w:cs="Times New Roman" w:eastAsiaTheme="minorEastAsia"/>
                <w:color w:val="auto"/>
                <w:highlight w:val="none"/>
                <w:lang w:val="en-US" w:eastAsia="zh-CN" w:bidi="ar"/>
              </w:rPr>
              <w:t>教育费附加和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地方教育附加。</w:t>
            </w:r>
          </w:p>
        </w:tc>
      </w:tr>
      <w:tr w14:paraId="2E299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AEBF9D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6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B35F0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残疾人就业保障金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4F8583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保障金年缴纳额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=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（上年用人单位在职职工人数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×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规定的安排残疾人就业比例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-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上年用人单位实际安排的残疾人就业人数）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×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上年用人单位在职职工年平均工资。省集中市县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5%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。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D41B46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《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中华人民共和国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残疾人保障法》，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《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 w:bidi="ar"/>
              </w:rPr>
              <w:t>残疾人就业条例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》，省政府令1996年第78号，财综〔2001〕16号，苏财综〔2002〕20号，财综〔2002〕33号，苏财综〔2002〕92号，财税〔2014〕122号、苏财综〔2015〕2号，财税〔2015〕72号，苏财综〔2017〕2号，财税〔2017〕18号，苏财综〔2017〕17号，财税〔2018〕39号、苏财综〔2018〕25号，发改价格规〔2019〕2015号、苏发改收费发〔2020〕438号，财政部公告2019年第98号，财政部公告2023年第8号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DFC04F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征收标准上限为当地社会平均工资的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2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倍。在职职工人数在</w:t>
            </w:r>
            <w:r>
              <w:rPr>
                <w:rStyle w:val="15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30</w:t>
            </w:r>
            <w:r>
              <w:rPr>
                <w:rStyle w:val="14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人（含）以下的企业，暂免征收。</w:t>
            </w:r>
          </w:p>
        </w:tc>
      </w:tr>
      <w:tr w14:paraId="20FF2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9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A3EF3A">
            <w:pPr>
              <w:jc w:val="center"/>
              <w:textAlignment w:val="center"/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  <w:t>7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2D604">
            <w:pPr>
              <w:textAlignment w:val="center"/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城市基础设施配套费</w:t>
            </w:r>
          </w:p>
        </w:tc>
        <w:tc>
          <w:tcPr>
            <w:tcW w:w="11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F2663B">
            <w:pPr>
              <w:textAlignment w:val="center"/>
              <w:rPr>
                <w:rStyle w:val="12"/>
                <w:rFonts w:hint="default" w:ascii="Times New Roman" w:hAnsi="Times New Roman" w:cs="Times New Roman" w:eastAsiaTheme="minorEastAsia"/>
                <w:color w:val="auto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县城每平方米75元，中等城市90元，大城市105元。在建制镇规划区内进行各类工程建设的单位和沿街建筑的个人，每平方米20-50元。</w:t>
            </w:r>
          </w:p>
        </w:tc>
        <w:tc>
          <w:tcPr>
            <w:tcW w:w="17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B8FB7E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国发〔1998〕34号，国发〔2002〕20号，财综函〔2002〕3号，国发〔2007〕24号，国发〔2013〕25号，苏政发〔1998〕48号，苏价费〔1998〕286号、苏财综〔1998〕135号，苏政发〔2002〕105号，苏价服〔2003〕115号、苏价服〔2006〕225号、苏财综〔2006〕42号，苏价服〔2006〕472号、苏财综〔2006〕97号，苏价涉〔1994〕76号、苏财综〔94〕66号，苏办发〔1996〕19号，苏价服〔2001〕377号，苏价服〔2004〕4号、苏财综〔2004〕1号，苏价费〔2009〕291号、苏财综〔2009〕47号，苏价服〔2012〕159号，苏价服〔2014〕49号，苏发改服价发〔2018〕1348号，财税〔2019〕53号，苏财综〔2019〕38号，财政部公告2019年第76号，财综〔2007〕53号，财综〔2011〕41号，国办发〔2011〕45号，财综〔2012〕5号，财综〔2012〕99号，财综〔2015〕57号，财综〔2016〕11号，国办发〔2020〕23号，国办发〔2021〕22号，苏政办发〔2021〕101号，财政部公告2026年第7号</w:t>
            </w: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EB0D72">
            <w:pPr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对农民在建制镇规划区范围内建住房、中小学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含幼儿园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校舍安全工程、保障性安居工程建设免收。自2019年7月1日起，对易地扶贫搬迁项目免征。自2019年6月1日至2025年12月31日，用于提供社区养老、托育、家政服务的建设项目免征。自2026年1月1日至2027年12月31日，用于提供社区养老、托育、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 w:bidi="ar"/>
              </w:rPr>
              <w:t>家政服务的建设项目继续免征。</w:t>
            </w:r>
          </w:p>
        </w:tc>
      </w:tr>
    </w:tbl>
    <w:p w14:paraId="3CE2C86C">
      <w:pPr>
        <w:rPr>
          <w:rFonts w:hint="default" w:ascii="Times New Roman" w:hAnsi="Times New Roman" w:cs="Times New Roman"/>
          <w:color w:val="auto"/>
          <w:highlight w:val="none"/>
        </w:rPr>
      </w:pPr>
    </w:p>
    <w:sectPr>
      <w:footerReference r:id="rId3" w:type="default"/>
      <w:pgSz w:w="16840" w:h="11910" w:orient="landscape"/>
      <w:pgMar w:top="1599" w:right="1431" w:bottom="1460" w:left="1790" w:header="0" w:footer="1492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DB7C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E71D2D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4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E71D2D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 w:eastAsia="宋体"/>
                        <w:lang w:val="en-US" w:eastAsia="zh-CN"/>
                      </w:rPr>
                      <w:t>4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lNDczMmIzMDFmMTZiNTMxMjM5MTE5ZDU1OTE2NmIifQ=="/>
  </w:docVars>
  <w:rsids>
    <w:rsidRoot w:val="00000000"/>
    <w:rsid w:val="0004613B"/>
    <w:rsid w:val="01F26EA1"/>
    <w:rsid w:val="02294DC2"/>
    <w:rsid w:val="0246544B"/>
    <w:rsid w:val="05871B00"/>
    <w:rsid w:val="076834B8"/>
    <w:rsid w:val="08C31148"/>
    <w:rsid w:val="0A0F245C"/>
    <w:rsid w:val="0A1D0183"/>
    <w:rsid w:val="0C75298C"/>
    <w:rsid w:val="0CD44149"/>
    <w:rsid w:val="0D62478D"/>
    <w:rsid w:val="0F78329E"/>
    <w:rsid w:val="103773C1"/>
    <w:rsid w:val="10B17FDB"/>
    <w:rsid w:val="11AD06CE"/>
    <w:rsid w:val="15FF6C66"/>
    <w:rsid w:val="16930A17"/>
    <w:rsid w:val="16BA7043"/>
    <w:rsid w:val="17AE6030"/>
    <w:rsid w:val="192F00CE"/>
    <w:rsid w:val="1A7A1027"/>
    <w:rsid w:val="1C7225D0"/>
    <w:rsid w:val="1F072CD9"/>
    <w:rsid w:val="21ED1136"/>
    <w:rsid w:val="243A4F0C"/>
    <w:rsid w:val="250048AF"/>
    <w:rsid w:val="27B26FAE"/>
    <w:rsid w:val="2AD97DE7"/>
    <w:rsid w:val="2BA6408F"/>
    <w:rsid w:val="2D7E3A80"/>
    <w:rsid w:val="30646EBC"/>
    <w:rsid w:val="312075E2"/>
    <w:rsid w:val="363650E4"/>
    <w:rsid w:val="36E866BB"/>
    <w:rsid w:val="38756529"/>
    <w:rsid w:val="38E12073"/>
    <w:rsid w:val="38E123BA"/>
    <w:rsid w:val="39DB31D8"/>
    <w:rsid w:val="3B726E7F"/>
    <w:rsid w:val="3CEF030E"/>
    <w:rsid w:val="3E713C45"/>
    <w:rsid w:val="3ECC1CC2"/>
    <w:rsid w:val="3F3B5CB1"/>
    <w:rsid w:val="3FB26C2E"/>
    <w:rsid w:val="3FF6553F"/>
    <w:rsid w:val="402D46F6"/>
    <w:rsid w:val="40C33728"/>
    <w:rsid w:val="410062D4"/>
    <w:rsid w:val="439614C1"/>
    <w:rsid w:val="45333BA3"/>
    <w:rsid w:val="46121CC2"/>
    <w:rsid w:val="46683C12"/>
    <w:rsid w:val="470E52AF"/>
    <w:rsid w:val="477466CD"/>
    <w:rsid w:val="492D4CFF"/>
    <w:rsid w:val="4942228E"/>
    <w:rsid w:val="4DE74A23"/>
    <w:rsid w:val="50E850A1"/>
    <w:rsid w:val="519B456B"/>
    <w:rsid w:val="527A33E4"/>
    <w:rsid w:val="539B0F8C"/>
    <w:rsid w:val="541F47CD"/>
    <w:rsid w:val="580D5D2D"/>
    <w:rsid w:val="59E17BCE"/>
    <w:rsid w:val="5B7F0FDC"/>
    <w:rsid w:val="5C4834B7"/>
    <w:rsid w:val="5C605EB5"/>
    <w:rsid w:val="5C936DF0"/>
    <w:rsid w:val="5CCA7472"/>
    <w:rsid w:val="5D3774DA"/>
    <w:rsid w:val="601F50F3"/>
    <w:rsid w:val="60F80B29"/>
    <w:rsid w:val="62D11CDD"/>
    <w:rsid w:val="63C01CBD"/>
    <w:rsid w:val="64CB1391"/>
    <w:rsid w:val="669D12CA"/>
    <w:rsid w:val="67675E09"/>
    <w:rsid w:val="6A333C56"/>
    <w:rsid w:val="6CDF3FA6"/>
    <w:rsid w:val="6D89362F"/>
    <w:rsid w:val="727548D3"/>
    <w:rsid w:val="7345423F"/>
    <w:rsid w:val="76CB3A99"/>
    <w:rsid w:val="7803648D"/>
    <w:rsid w:val="7A89074C"/>
    <w:rsid w:val="7AD95AE8"/>
    <w:rsid w:val="7BCD7E9F"/>
    <w:rsid w:val="7D8C1F2E"/>
    <w:rsid w:val="7E6B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仿宋_GB2312" w:cs="宋体"/>
      <w:kern w:val="0"/>
      <w:sz w:val="24"/>
      <w:szCs w:val="24"/>
    </w:rPr>
  </w:style>
  <w:style w:type="character" w:customStyle="1" w:styleId="8">
    <w:name w:val="font131"/>
    <w:basedOn w:val="7"/>
    <w:qFormat/>
    <w:uiPriority w:val="0"/>
    <w:rPr>
      <w:rFonts w:ascii="黑体" w:hAnsi="宋体" w:eastAsia="黑体" w:cs="黑体"/>
      <w:b/>
      <w:bCs/>
      <w:color w:val="auto"/>
      <w:sz w:val="36"/>
      <w:szCs w:val="36"/>
      <w:u w:val="none"/>
    </w:rPr>
  </w:style>
  <w:style w:type="character" w:customStyle="1" w:styleId="9">
    <w:name w:val="font141"/>
    <w:basedOn w:val="7"/>
    <w:qFormat/>
    <w:uiPriority w:val="0"/>
    <w:rPr>
      <w:rFonts w:ascii="方正仿宋_GBK" w:hAnsi="方正仿宋_GBK" w:eastAsia="方正仿宋_GBK" w:cs="方正仿宋_GBK"/>
      <w:b/>
      <w:bCs/>
      <w:color w:val="auto"/>
      <w:sz w:val="22"/>
      <w:szCs w:val="22"/>
      <w:u w:val="none"/>
    </w:rPr>
  </w:style>
  <w:style w:type="character" w:customStyle="1" w:styleId="10">
    <w:name w:val="font151"/>
    <w:basedOn w:val="7"/>
    <w:qFormat/>
    <w:uiPriority w:val="0"/>
    <w:rPr>
      <w:rFonts w:hint="eastAsia" w:ascii="方正仿宋_GBK" w:hAnsi="方正仿宋_GBK" w:eastAsia="方正仿宋_GBK" w:cs="方正仿宋_GBK"/>
      <w:b/>
      <w:bCs/>
      <w:color w:val="auto"/>
      <w:sz w:val="20"/>
      <w:szCs w:val="20"/>
      <w:u w:val="none"/>
    </w:rPr>
  </w:style>
  <w:style w:type="character" w:customStyle="1" w:styleId="11">
    <w:name w:val="font51"/>
    <w:basedOn w:val="7"/>
    <w:qFormat/>
    <w:uiPriority w:val="0"/>
    <w:rPr>
      <w:rFonts w:hint="default" w:ascii="Times New Roman" w:hAnsi="Times New Roman" w:cs="Times New Roman"/>
      <w:b/>
      <w:bCs/>
      <w:color w:val="auto"/>
      <w:sz w:val="20"/>
      <w:szCs w:val="20"/>
      <w:u w:val="none"/>
    </w:rPr>
  </w:style>
  <w:style w:type="character" w:customStyle="1" w:styleId="12">
    <w:name w:val="font71"/>
    <w:basedOn w:val="7"/>
    <w:qFormat/>
    <w:uiPriority w:val="0"/>
    <w:rPr>
      <w:rFonts w:hint="eastAsia" w:ascii="方正仿宋_GBK" w:hAnsi="方正仿宋_GBK" w:eastAsia="方正仿宋_GBK" w:cs="方正仿宋_GBK"/>
      <w:color w:val="auto"/>
      <w:sz w:val="20"/>
      <w:szCs w:val="20"/>
      <w:u w:val="none"/>
    </w:rPr>
  </w:style>
  <w:style w:type="character" w:customStyle="1" w:styleId="13">
    <w:name w:val="font61"/>
    <w:basedOn w:val="7"/>
    <w:qFormat/>
    <w:uiPriority w:val="0"/>
    <w:rPr>
      <w:rFonts w:hint="default" w:ascii="Times New Roman" w:hAnsi="Times New Roman" w:cs="Times New Roman"/>
      <w:color w:val="auto"/>
      <w:sz w:val="20"/>
      <w:szCs w:val="20"/>
      <w:u w:val="none"/>
    </w:rPr>
  </w:style>
  <w:style w:type="character" w:customStyle="1" w:styleId="14">
    <w:name w:val="font16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5">
    <w:name w:val="font11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6">
    <w:name w:val="font9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7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">
    <w:name w:val="font10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9">
    <w:name w:val="font17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20">
    <w:name w:val="Subtle Emphasis"/>
    <w:basedOn w:val="7"/>
    <w:qFormat/>
    <w:uiPriority w:val="99"/>
    <w:rPr>
      <w:i/>
      <w:iCs/>
      <w:color w:val="808080"/>
    </w:rPr>
  </w:style>
  <w:style w:type="character" w:customStyle="1" w:styleId="21">
    <w:name w:val="20"/>
    <w:basedOn w:val="7"/>
    <w:uiPriority w:val="0"/>
    <w:rPr>
      <w:rFonts w:hint="eastAsia" w:ascii="方正仿宋_GBK" w:eastAsia="方正仿宋_GBK"/>
      <w:color w:val="000000"/>
      <w:sz w:val="20"/>
      <w:szCs w:val="20"/>
    </w:rPr>
  </w:style>
  <w:style w:type="character" w:customStyle="1" w:styleId="22">
    <w:name w:val="23"/>
    <w:basedOn w:val="7"/>
    <w:uiPriority w:val="0"/>
    <w:rPr>
      <w:rFonts w:hint="default" w:ascii="Times New Roman" w:hAnsi="Times New Roman" w:cs="Times New Roman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2957</Words>
  <Characters>3775</Characters>
  <Lines>0</Lines>
  <Paragraphs>0</Paragraphs>
  <TotalTime>0</TotalTime>
  <ScaleCrop>false</ScaleCrop>
  <LinksUpToDate>false</LinksUpToDate>
  <CharactersWithSpaces>3780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2024-04-29T06:37:00Z</dcterms:created>
  <dc:creator>User</dc:creator>
  <cp:lastModifiedBy>lyy</cp:lastModifiedBy>
  <cp:lastPrinted>2026-07-10T06:42:19Z</cp:lastPrinted>
  <dcterms:modified xsi:type="dcterms:W3CDTF">2026-07-10T07:24:16Z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4BE2B134BDCA4391BDAAF1E5C65745C9_13</vt:lpwstr>
  </property>
  <property fmtid="{D5CDD505-2E9C-101B-9397-08002B2CF9AE}" pid="4" name="KSOTemplateDocerSaveRecord">
    <vt:lpwstr>eyJoZGlkIjoiOTJiMzc3YzhlNjgwM2E2NjUyYWU2NzJlZDg4MDNkYjgiLCJ1c2VySWQiOiI3NDExODkxOTIifQ==</vt:lpwstr>
  </property>
</Properties>
</file>