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148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2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heading_16"/>
      <w:r>
        <w:rPr>
          <w:rFonts w:hint="default" w:ascii="Times New Roman" w:hAnsi="Times New Roman" w:eastAsia="仿宋_GB2312" w:cs="Times New Roman"/>
          <w:sz w:val="32"/>
          <w:szCs w:val="32"/>
        </w:rPr>
        <w:t>附件1：</w:t>
      </w:r>
    </w:p>
    <w:p w14:paraId="2F714D5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/>
        </w:rPr>
      </w:pPr>
    </w:p>
    <w:bookmarkEnd w:id="0"/>
    <w:p w14:paraId="0AC60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2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1" w:name="heading_24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调解协议审核意见（模板）</w:t>
      </w:r>
      <w:bookmarkEnd w:id="1"/>
    </w:p>
    <w:p w14:paraId="49BFE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2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EB33E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案件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之间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纠纷调解协议</w:t>
      </w:r>
    </w:p>
    <w:p w14:paraId="65D9E6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审核人：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（法律顾问）</w:t>
      </w:r>
    </w:p>
    <w:p w14:paraId="3C6D6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审核日期：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0C6E4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审核内容：该调解协议的合法性、合理性、可履行性及当事人意思表示真实性。</w:t>
      </w:r>
    </w:p>
    <w:p w14:paraId="0458B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审核意见（可选择其一并补充说明）：</w:t>
      </w:r>
    </w:p>
    <w:p w14:paraId="67F9D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□审核通过。该调解协议内容合法、条款清晰、可履行，当事人意思表示真实，符合相关法律规定，同意签订。</w:t>
      </w:r>
    </w:p>
    <w:p w14:paraId="6918A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32"/>
          <w:szCs w:val="32"/>
        </w:rPr>
        <w:t>修改完善。修改意见：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</w:t>
      </w:r>
    </w:p>
    <w:p w14:paraId="1A88E5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</w:t>
      </w:r>
    </w:p>
    <w:p w14:paraId="28D38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32"/>
          <w:szCs w:val="32"/>
        </w:rPr>
        <w:t>不予认可。理由：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208AA3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2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 </w:t>
      </w:r>
    </w:p>
    <w:p w14:paraId="5875FE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E0186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160" w:firstLineChars="1300"/>
        <w:jc w:val="both"/>
        <w:textAlignment w:val="auto"/>
        <w:outlineLvl w:val="2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审核人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签名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</w:p>
    <w:p w14:paraId="6DC69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center"/>
        <w:textAlignment w:val="auto"/>
        <w:outlineLvl w:val="2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所属单位：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 w14:paraId="492AF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center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A7EDA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备注：本审核意见随调解卷宗归档。</w:t>
      </w:r>
    </w:p>
    <w:p w14:paraId="08FC5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2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2" w:name="heading_25"/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 w14:paraId="735484C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/>
        </w:rPr>
      </w:pPr>
    </w:p>
    <w:p w14:paraId="1153E9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2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心理辅导申请单（模板）</w:t>
      </w:r>
      <w:bookmarkEnd w:id="2"/>
    </w:p>
    <w:p w14:paraId="22484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2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EA681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（调解组织）</w:t>
      </w:r>
    </w:p>
    <w:p w14:paraId="4A56E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33872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</w:rPr>
        <w:t>案件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</w:t>
      </w:r>
    </w:p>
    <w:p w14:paraId="5660D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</w:t>
      </w:r>
    </w:p>
    <w:p w14:paraId="418D1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2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</w:t>
      </w:r>
    </w:p>
    <w:p w14:paraId="51E24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</w:t>
      </w:r>
    </w:p>
    <w:p w14:paraId="0ED5E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申请理由：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</w:t>
      </w:r>
    </w:p>
    <w:p w14:paraId="3981C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（如：当事人情绪激动、存在心理失衡倾向、有过激言论/行为、涉精神障碍相关纠纷等）</w:t>
      </w:r>
    </w:p>
    <w:p w14:paraId="4F29A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申请辅导对象：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</w:t>
      </w:r>
    </w:p>
    <w:p w14:paraId="17D5BB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（单方当事人/双方当事人）</w:t>
      </w:r>
    </w:p>
    <w:p w14:paraId="14D1AF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</w:t>
      </w:r>
      <w:r>
        <w:rPr>
          <w:rFonts w:hint="eastAsia" w:ascii="仿宋_GB2312" w:hAnsi="仿宋_GB2312" w:eastAsia="仿宋_GB2312" w:cs="仿宋_GB2312"/>
          <w:sz w:val="32"/>
          <w:szCs w:val="32"/>
        </w:rPr>
        <w:t>辅导需求：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</w:t>
      </w:r>
    </w:p>
    <w:p w14:paraId="71A1C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（如：情绪安抚、心理疏导、精神状态研判、危机干预等）</w:t>
      </w:r>
    </w:p>
    <w:p w14:paraId="627A6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99A3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C31F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2880" w:firstLineChars="900"/>
        <w:jc w:val="both"/>
        <w:textAlignment w:val="auto"/>
        <w:outlineLvl w:val="2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申请人（调解员）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签名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 w14:paraId="7B0494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2880" w:firstLineChars="9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调解组织负责人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签名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</w:p>
    <w:p w14:paraId="3E88F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备注：本申请单随调解卷宗归档，辅导完成后附《心理状态研判报告》。</w:t>
      </w:r>
    </w:p>
    <w:p w14:paraId="3887F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2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3" w:name="heading_26"/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 w14:paraId="1CBFE0D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/>
        </w:rPr>
      </w:pPr>
    </w:p>
    <w:p w14:paraId="51E72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心理状态研判报告（模板）</w:t>
      </w:r>
      <w:bookmarkEnd w:id="3"/>
    </w:p>
    <w:p w14:paraId="218A6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D4B2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40" w:firstLineChars="200"/>
        <w:jc w:val="both"/>
        <w:textAlignment w:val="auto"/>
        <w:outlineLvl w:val="2"/>
        <w:rPr>
          <w:rStyle w:val="10"/>
          <w:rFonts w:hint="eastAsia" w:ascii="仿宋_GB2312" w:hAnsi="仿宋_GB2312" w:eastAsia="仿宋_GB2312" w:cs="仿宋_GB2312"/>
          <w:i w:val="0"/>
          <w:iCs w:val="0"/>
          <w:sz w:val="30"/>
          <w:szCs w:val="30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案件信息：</w:t>
      </w:r>
      <w:r>
        <w:rPr>
          <w:rStyle w:val="10"/>
          <w:rFonts w:hint="eastAsia" w:ascii="仿宋_GB2312" w:hAnsi="仿宋_GB2312" w:eastAsia="仿宋_GB2312" w:cs="仿宋_GB2312"/>
          <w:i w:val="0"/>
          <w:iCs w:val="0"/>
          <w:sz w:val="30"/>
          <w:szCs w:val="30"/>
          <w:u w:val="single"/>
          <w:lang w:val="en-US" w:eastAsia="zh-CN" w:bidi="ar"/>
        </w:rPr>
        <w:t xml:space="preserve">                        </w:t>
      </w:r>
      <w:r>
        <w:rPr>
          <w:rStyle w:val="10"/>
          <w:rFonts w:hint="eastAsia" w:ascii="仿宋_GB2312" w:hAnsi="仿宋_GB2312" w:eastAsia="仿宋_GB2312" w:cs="仿宋_GB2312"/>
          <w:i w:val="0"/>
          <w:iCs w:val="0"/>
          <w:sz w:val="30"/>
          <w:szCs w:val="30"/>
          <w:u w:val="none"/>
          <w:lang w:val="en-US" w:eastAsia="zh-CN" w:bidi="ar"/>
        </w:rPr>
        <w:t xml:space="preserve"> </w:t>
      </w:r>
    </w:p>
    <w:p w14:paraId="29AC8C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辅导对象：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</w:t>
      </w:r>
    </w:p>
    <w:p w14:paraId="4395D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辅导时间：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52A06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40" w:firstLineChars="200"/>
        <w:jc w:val="both"/>
        <w:textAlignment w:val="auto"/>
        <w:outlineLvl w:val="2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辅导方式：□面谈□电话沟通□其他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</w:p>
    <w:p w14:paraId="2F406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一、研判内容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包括</w:t>
      </w:r>
      <w:r>
        <w:rPr>
          <w:rFonts w:hint="eastAsia" w:ascii="仿宋_GB2312" w:hAnsi="仿宋_GB2312" w:eastAsia="仿宋_GB2312" w:cs="仿宋_GB2312"/>
          <w:sz w:val="32"/>
          <w:szCs w:val="32"/>
        </w:rPr>
        <w:t>情绪状态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心理状况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精神状态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行为倾向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71564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</w:t>
      </w:r>
    </w:p>
    <w:p w14:paraId="402C6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</w:t>
      </w:r>
    </w:p>
    <w:p w14:paraId="28C46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、研判结论（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包括</w:t>
      </w:r>
      <w:r>
        <w:rPr>
          <w:rFonts w:hint="eastAsia" w:ascii="仿宋_GB2312" w:hAnsi="仿宋_GB2312" w:eastAsia="仿宋_GB2312" w:cs="仿宋_GB2312"/>
          <w:sz w:val="32"/>
          <w:szCs w:val="32"/>
        </w:rPr>
        <w:t>当事人精神状态是否适合继续调解，是否存在风险隐患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49163B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</w:t>
      </w:r>
    </w:p>
    <w:p w14:paraId="04885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</w:t>
      </w:r>
    </w:p>
    <w:p w14:paraId="4EA09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、辅导建议</w:t>
      </w:r>
    </w:p>
    <w:p w14:paraId="0B157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40" w:firstLineChars="200"/>
        <w:jc w:val="both"/>
        <w:textAlignment w:val="auto"/>
        <w:outlineLvl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对调解工作的建议：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（如：放缓调解节奏、耐心沟通引导、联合相关部门防控风险等）</w:t>
      </w:r>
    </w:p>
    <w:p w14:paraId="6C30E3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40" w:firstLineChars="200"/>
        <w:jc w:val="both"/>
        <w:textAlignment w:val="auto"/>
        <w:outlineLvl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对当事人的建议：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（如：后续心理辅导、就医建议、情绪调节方法等）</w:t>
      </w:r>
    </w:p>
    <w:p w14:paraId="7825C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其他</w:t>
      </w:r>
      <w:r>
        <w:rPr>
          <w:rFonts w:hint="eastAsia" w:ascii="仿宋_GB2312" w:hAnsi="仿宋_GB2312" w:eastAsia="仿宋_GB2312" w:cs="仿宋_GB2312"/>
          <w:sz w:val="32"/>
          <w:szCs w:val="32"/>
        </w:rPr>
        <w:t>建议：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 w14:paraId="188EE1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 w14:paraId="572E7B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40" w:firstLineChars="200"/>
        <w:jc w:val="center"/>
        <w:textAlignment w:val="auto"/>
        <w:outlineLvl w:val="2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辅导人员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签名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 w14:paraId="05133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40" w:firstLineChars="200"/>
        <w:jc w:val="right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报告日期：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6D555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备注：本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研判</w:t>
      </w:r>
      <w:r>
        <w:rPr>
          <w:rFonts w:hint="eastAsia" w:ascii="仿宋_GB2312" w:hAnsi="仿宋_GB2312" w:eastAsia="仿宋_GB2312" w:cs="仿宋_GB2312"/>
          <w:sz w:val="32"/>
          <w:szCs w:val="32"/>
        </w:rPr>
        <w:t>报告随调解卷宗归档。</w:t>
      </w:r>
    </w:p>
    <w:p w14:paraId="41DAF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2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4" w:name="heading_28"/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 w14:paraId="7B447A6A">
      <w:pPr>
        <w:pStyle w:val="4"/>
        <w:rPr>
          <w:rFonts w:hint="default"/>
        </w:rPr>
      </w:pPr>
    </w:p>
    <w:p w14:paraId="42706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2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法定救济途径指引书（模板）</w:t>
      </w:r>
      <w:bookmarkEnd w:id="4"/>
    </w:p>
    <w:p w14:paraId="51FA9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2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4BE6C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2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（当事人）：</w:t>
      </w:r>
    </w:p>
    <w:p w14:paraId="632B1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你与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（对方当事人）就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（纠纷类型）纠纷，经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（调解组织）调解，□未达成调解协议□调解协议履行过程中发生反复，现指引如下法定救济途径，请依法维护自身合法权益：</w:t>
      </w:r>
    </w:p>
    <w:p w14:paraId="550B3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</w:t>
      </w:r>
    </w:p>
    <w:p w14:paraId="5F1149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2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</w:t>
      </w:r>
    </w:p>
    <w:p w14:paraId="496144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（如：向人民法院提起民事诉讼、向劳动仲裁机构申请仲裁、申请行政复议等）</w:t>
      </w:r>
    </w:p>
    <w:p w14:paraId="0709C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你可在法定期限内选择上述救济途径，逾期将可能丧失相关权利；符合法律援助条件的，可向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法律援助中心申请法律援助（联系电话：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 w14:paraId="5EFA5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4FDE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1280" w:firstLineChars="400"/>
        <w:jc w:val="both"/>
        <w:textAlignment w:val="auto"/>
        <w:outlineLvl w:val="2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指引单位（调解组织盖章）：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</w:p>
    <w:p w14:paraId="53127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3840" w:firstLineChars="1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送达日期：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47FCBB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3520" w:firstLineChars="1100"/>
        <w:jc w:val="both"/>
        <w:textAlignment w:val="auto"/>
        <w:outlineLvl w:val="2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当事人签收：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</w:p>
    <w:p w14:paraId="6DEFB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3840" w:firstLineChars="1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签收日期：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017CDBF2">
      <w:pPr>
        <w:pStyle w:val="4"/>
        <w:rPr>
          <w:rFonts w:hint="eastAsia"/>
        </w:rPr>
      </w:pPr>
    </w:p>
    <w:p w14:paraId="3FA442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5" w:name="heading_29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备注：本指引书一式两份，一份送达当事人，一份调解组织自行存档。</w:t>
      </w:r>
    </w:p>
    <w:p w14:paraId="15B7AF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 w14:paraId="59BFF4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C946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2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人民调解社会治理建议表（模板）</w:t>
      </w:r>
      <w:bookmarkEnd w:id="5"/>
    </w:p>
    <w:p w14:paraId="708DB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2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BAC3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一、案件相关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情况</w:t>
      </w:r>
    </w:p>
    <w:p w14:paraId="5F271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</w:t>
      </w:r>
    </w:p>
    <w:p w14:paraId="1D81A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</w:t>
      </w:r>
    </w:p>
    <w:p w14:paraId="05A9F6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</w:t>
      </w:r>
    </w:p>
    <w:p w14:paraId="0D79C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二、发现的社会治理问题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包括成因、</w:t>
      </w:r>
      <w:r>
        <w:rPr>
          <w:rFonts w:hint="eastAsia" w:ascii="仿宋_GB2312" w:hAnsi="仿宋_GB2312" w:eastAsia="仿宋_GB2312" w:cs="仿宋_GB2312"/>
          <w:sz w:val="32"/>
          <w:szCs w:val="32"/>
        </w:rPr>
        <w:t>表现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08B27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outlineLvl w:val="2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</w:t>
      </w:r>
    </w:p>
    <w:p w14:paraId="66EE7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</w:t>
      </w:r>
    </w:p>
    <w:p w14:paraId="7AF0A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outlineLvl w:val="2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</w:t>
      </w:r>
    </w:p>
    <w:p w14:paraId="39CE2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</w:t>
      </w:r>
    </w:p>
    <w:p w14:paraId="1CA1F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jc w:val="both"/>
        <w:textAlignment w:val="auto"/>
        <w:outlineLvl w:val="2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三、整改建议</w:t>
      </w:r>
    </w:p>
    <w:p w14:paraId="575CC4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jc w:val="both"/>
        <w:textAlignment w:val="auto"/>
        <w:outlineLvl w:val="2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</w:t>
      </w:r>
    </w:p>
    <w:p w14:paraId="6B4F77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jc w:val="both"/>
        <w:textAlignment w:val="auto"/>
        <w:outlineLvl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</w:t>
      </w:r>
    </w:p>
    <w:p w14:paraId="24F56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jc w:val="both"/>
        <w:textAlignment w:val="auto"/>
        <w:outlineLvl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</w:t>
      </w:r>
    </w:p>
    <w:p w14:paraId="58979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jc w:val="both"/>
        <w:textAlignment w:val="auto"/>
        <w:outlineLvl w:val="2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9C24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560" w:firstLineChars="8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调解组织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（盖章）：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</w:p>
    <w:p w14:paraId="2F06F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3200" w:firstLineChars="10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联系人及电话：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</w:p>
    <w:p w14:paraId="35A14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jc w:val="center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司法所审核意见：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32"/>
          <w:szCs w:val="32"/>
        </w:rPr>
        <w:t>同意推送</w:t>
      </w:r>
    </w:p>
    <w:p w14:paraId="051F9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jc w:val="center"/>
        <w:textAlignment w:val="auto"/>
        <w:outlineLvl w:val="2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审核人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签名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</w:p>
    <w:p w14:paraId="2F498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jc w:val="center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06A2CC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outlineLvl w:val="2"/>
        <w:rPr>
          <w:rFonts w:hint="eastAsia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备注：本建议表经司法所审核后，报送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司法局统一推送至相关单位。</w:t>
      </w:r>
    </w:p>
    <w:p w14:paraId="411049E3">
      <w:pPr>
        <w:pStyle w:val="4"/>
        <w:ind w:left="0" w:leftChars="0" w:firstLine="0" w:firstLineChars="0"/>
        <w:rPr>
          <w:rFonts w:hint="eastAsia"/>
          <w:sz w:val="32"/>
          <w:szCs w:val="32"/>
        </w:rPr>
      </w:pPr>
    </w:p>
    <w:p w14:paraId="51FA86A9">
      <w:pPr>
        <w:pStyle w:val="4"/>
        <w:ind w:left="0" w:leftChars="0" w:firstLine="0" w:firstLineChars="0"/>
        <w:rPr>
          <w:rFonts w:hint="eastAsia"/>
          <w:sz w:val="32"/>
          <w:szCs w:val="32"/>
        </w:rPr>
      </w:pPr>
    </w:p>
    <w:p w14:paraId="3316E388">
      <w:pPr>
        <w:pStyle w:val="4"/>
        <w:ind w:left="0" w:leftChars="0" w:firstLine="0" w:firstLineChars="0"/>
        <w:rPr>
          <w:rFonts w:hint="eastAsia"/>
          <w:sz w:val="32"/>
          <w:szCs w:val="32"/>
        </w:rPr>
      </w:pPr>
    </w:p>
    <w:p w14:paraId="7ED79604">
      <w:pPr>
        <w:pStyle w:val="4"/>
        <w:ind w:left="0" w:leftChars="0" w:firstLine="0" w:firstLineChars="0"/>
        <w:rPr>
          <w:rFonts w:hint="eastAsia"/>
          <w:sz w:val="32"/>
          <w:szCs w:val="32"/>
        </w:rPr>
      </w:pPr>
    </w:p>
    <w:p w14:paraId="26436378">
      <w:pPr>
        <w:pStyle w:val="4"/>
        <w:ind w:left="0" w:leftChars="0" w:firstLine="0" w:firstLineChars="0"/>
        <w:rPr>
          <w:rFonts w:hint="eastAsia"/>
          <w:sz w:val="32"/>
          <w:szCs w:val="32"/>
        </w:rPr>
      </w:pPr>
    </w:p>
    <w:p w14:paraId="505DE5E7">
      <w:pPr>
        <w:pStyle w:val="4"/>
        <w:ind w:left="0" w:leftChars="0" w:firstLine="0" w:firstLineChars="0"/>
        <w:rPr>
          <w:rFonts w:hint="eastAsia"/>
          <w:sz w:val="32"/>
          <w:szCs w:val="32"/>
        </w:rPr>
      </w:pPr>
    </w:p>
    <w:p w14:paraId="57B1E043">
      <w:pPr>
        <w:pStyle w:val="4"/>
        <w:ind w:left="0" w:leftChars="0" w:firstLine="0" w:firstLineChars="0"/>
        <w:rPr>
          <w:rFonts w:hint="eastAsia"/>
          <w:sz w:val="32"/>
          <w:szCs w:val="32"/>
        </w:rPr>
      </w:pPr>
    </w:p>
    <w:p w14:paraId="439386E4">
      <w:pPr>
        <w:pStyle w:val="4"/>
        <w:ind w:left="0" w:leftChars="0" w:firstLine="0" w:firstLineChars="0"/>
        <w:rPr>
          <w:rFonts w:hint="eastAsia"/>
          <w:sz w:val="32"/>
          <w:szCs w:val="32"/>
        </w:rPr>
      </w:pPr>
    </w:p>
    <w:p w14:paraId="01F90D28">
      <w:pPr>
        <w:pStyle w:val="4"/>
        <w:ind w:left="0" w:leftChars="0" w:firstLine="0" w:firstLineChars="0"/>
        <w:rPr>
          <w:rFonts w:hint="eastAsia"/>
          <w:sz w:val="32"/>
          <w:szCs w:val="32"/>
        </w:rPr>
      </w:pPr>
    </w:p>
    <w:p w14:paraId="12D00871">
      <w:pPr>
        <w:pStyle w:val="4"/>
        <w:ind w:left="0" w:leftChars="0" w:firstLine="0" w:firstLineChars="0"/>
        <w:rPr>
          <w:rFonts w:hint="eastAsia"/>
          <w:sz w:val="32"/>
          <w:szCs w:val="32"/>
        </w:rPr>
      </w:pPr>
    </w:p>
    <w:p w14:paraId="41059630">
      <w:pPr>
        <w:pStyle w:val="4"/>
        <w:ind w:left="0" w:leftChars="0" w:firstLine="0" w:firstLineChars="0"/>
        <w:rPr>
          <w:rFonts w:hint="eastAsia"/>
          <w:sz w:val="32"/>
          <w:szCs w:val="32"/>
        </w:rPr>
      </w:pPr>
    </w:p>
    <w:p w14:paraId="017F575D">
      <w:pPr>
        <w:pStyle w:val="4"/>
        <w:ind w:left="0" w:leftChars="0" w:firstLine="0" w:firstLineChars="0"/>
        <w:rPr>
          <w:rFonts w:hint="eastAsia"/>
          <w:sz w:val="32"/>
          <w:szCs w:val="32"/>
        </w:rPr>
      </w:pPr>
    </w:p>
    <w:p w14:paraId="6859C5FE">
      <w:pPr>
        <w:pStyle w:val="4"/>
        <w:ind w:left="0" w:leftChars="0" w:firstLine="0" w:firstLineChars="0"/>
        <w:rPr>
          <w:rFonts w:hint="eastAsia"/>
          <w:sz w:val="32"/>
          <w:szCs w:val="32"/>
        </w:rPr>
      </w:pPr>
    </w:p>
    <w:p w14:paraId="2914DE01">
      <w:pPr>
        <w:pStyle w:val="4"/>
        <w:ind w:left="0" w:leftChars="0" w:firstLine="0" w:firstLineChars="0"/>
        <w:rPr>
          <w:rFonts w:hint="eastAsia"/>
          <w:sz w:val="32"/>
          <w:szCs w:val="32"/>
        </w:rPr>
      </w:pPr>
    </w:p>
    <w:p w14:paraId="70F1D2C1">
      <w:pPr>
        <w:pStyle w:val="4"/>
        <w:ind w:left="0" w:leftChars="0" w:firstLine="0" w:firstLineChars="0"/>
        <w:rPr>
          <w:rFonts w:hint="eastAsia"/>
          <w:sz w:val="32"/>
          <w:szCs w:val="32"/>
        </w:rPr>
      </w:pPr>
    </w:p>
    <w:p w14:paraId="51CCD74B">
      <w:pPr>
        <w:pStyle w:val="4"/>
        <w:ind w:left="0" w:leftChars="0" w:firstLine="0" w:firstLineChars="0"/>
        <w:rPr>
          <w:rFonts w:hint="eastAsia"/>
          <w:sz w:val="32"/>
          <w:szCs w:val="32"/>
        </w:rPr>
      </w:pPr>
    </w:p>
    <w:p w14:paraId="46369BF8">
      <w:pPr>
        <w:pStyle w:val="4"/>
        <w:ind w:left="0" w:leftChars="0" w:firstLine="0" w:firstLineChars="0"/>
        <w:rPr>
          <w:rFonts w:hint="eastAsia"/>
          <w:sz w:val="32"/>
          <w:szCs w:val="32"/>
        </w:rPr>
      </w:pPr>
    </w:p>
    <w:p w14:paraId="73BCD37A">
      <w:pPr>
        <w:pStyle w:val="4"/>
        <w:ind w:left="0" w:leftChars="0" w:firstLine="0" w:firstLineChars="0"/>
        <w:rPr>
          <w:rFonts w:hint="eastAsia"/>
          <w:sz w:val="32"/>
          <w:szCs w:val="32"/>
        </w:rPr>
      </w:pPr>
    </w:p>
    <w:p w14:paraId="7F0B499D">
      <w:pPr>
        <w:pStyle w:val="4"/>
        <w:ind w:left="0" w:leftChars="0" w:firstLine="0" w:firstLineChars="0"/>
        <w:rPr>
          <w:rFonts w:hint="eastAsia"/>
          <w:sz w:val="32"/>
          <w:szCs w:val="32"/>
        </w:rPr>
      </w:pPr>
    </w:p>
    <w:p w14:paraId="61F1B491">
      <w:pPr>
        <w:pStyle w:val="4"/>
        <w:ind w:left="0" w:leftChars="0" w:firstLine="0" w:firstLineChars="0"/>
        <w:rPr>
          <w:rFonts w:hint="eastAsia"/>
          <w:sz w:val="32"/>
          <w:szCs w:val="32"/>
        </w:rPr>
      </w:pPr>
    </w:p>
    <w:p w14:paraId="4FD459F8">
      <w:pPr>
        <w:pStyle w:val="4"/>
        <w:ind w:left="0" w:leftChars="0" w:firstLine="0" w:firstLineChars="0"/>
        <w:rPr>
          <w:rFonts w:hint="eastAsia"/>
          <w:sz w:val="32"/>
          <w:szCs w:val="32"/>
        </w:rPr>
      </w:pPr>
    </w:p>
    <w:p w14:paraId="68448564">
      <w:pPr>
        <w:pStyle w:val="4"/>
        <w:ind w:left="0" w:leftChars="0" w:firstLine="0" w:firstLineChars="0"/>
        <w:rPr>
          <w:rFonts w:hint="eastAsia"/>
          <w:sz w:val="32"/>
          <w:szCs w:val="32"/>
        </w:rPr>
      </w:pPr>
    </w:p>
    <w:p w14:paraId="3DF0A5E8">
      <w:pPr>
        <w:pStyle w:val="4"/>
        <w:ind w:left="0" w:leftChars="0" w:firstLine="0" w:firstLineChars="0"/>
        <w:rPr>
          <w:rFonts w:hint="eastAsia"/>
          <w:sz w:val="32"/>
          <w:szCs w:val="32"/>
        </w:rPr>
      </w:pPr>
    </w:p>
    <w:p w14:paraId="75191026">
      <w:pPr>
        <w:pStyle w:val="4"/>
        <w:ind w:left="0" w:leftChars="0" w:firstLine="0" w:firstLineChars="0"/>
        <w:rPr>
          <w:rFonts w:hint="eastAsia"/>
          <w:sz w:val="32"/>
          <w:szCs w:val="32"/>
        </w:rPr>
      </w:pPr>
      <w:bookmarkStart w:id="6" w:name="_GoBack"/>
      <w:bookmarkEnd w:id="6"/>
    </w:p>
    <w:p w14:paraId="2178DA90">
      <w:pPr>
        <w:pStyle w:val="4"/>
        <w:ind w:left="0" w:leftChars="0" w:firstLine="0" w:firstLineChars="0"/>
        <w:rPr>
          <w:rFonts w:hint="eastAsia"/>
          <w:sz w:val="32"/>
          <w:szCs w:val="32"/>
        </w:rPr>
      </w:pPr>
    </w:p>
    <w:p w14:paraId="72E20D00">
      <w:pPr>
        <w:pStyle w:val="4"/>
        <w:ind w:left="0" w:leftChars="0" w:firstLine="0" w:firstLineChars="0"/>
        <w:rPr>
          <w:rFonts w:hint="eastAsia"/>
          <w:sz w:val="32"/>
          <w:szCs w:val="32"/>
        </w:rPr>
      </w:pPr>
    </w:p>
    <w:p w14:paraId="4CFBCDE4">
      <w:pPr>
        <w:pStyle w:val="4"/>
        <w:ind w:left="0" w:leftChars="0" w:firstLine="0" w:firstLineChars="0"/>
        <w:rPr>
          <w:rFonts w:hint="eastAsia"/>
          <w:sz w:val="32"/>
          <w:szCs w:val="32"/>
        </w:rPr>
      </w:pPr>
    </w:p>
    <w:p w14:paraId="08C99E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008BD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30EFF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tbl>
      <w:tblPr>
        <w:tblStyle w:val="7"/>
        <w:tblW w:w="0" w:type="auto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12F77BC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noWrap w:val="0"/>
            <w:vAlign w:val="top"/>
          </w:tcPr>
          <w:p w14:paraId="75404920">
            <w:pPr>
              <w:overflowPunct w:val="0"/>
              <w:spacing w:line="560" w:lineRule="exact"/>
              <w:ind w:firstLine="280" w:firstLineChars="10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张家港市司法局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办公室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 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日印发</w:t>
            </w:r>
          </w:p>
        </w:tc>
      </w:tr>
    </w:tbl>
    <w:p w14:paraId="52E25120">
      <w:pPr>
        <w:pStyle w:val="4"/>
        <w:ind w:left="0" w:leftChars="0" w:firstLine="0" w:firstLineChars="0"/>
        <w:rPr>
          <w:rFonts w:hint="eastAsia"/>
          <w:sz w:val="32"/>
          <w:szCs w:val="32"/>
        </w:rPr>
      </w:pPr>
    </w:p>
    <w:sectPr>
      <w:footerReference r:id="rId3" w:type="default"/>
      <w:pgSz w:w="11905" w:h="16840"/>
      <w:pgMar w:top="2154" w:right="1474" w:bottom="1984" w:left="1587" w:header="720" w:footer="720" w:gutter="0"/>
      <w:pgNumType w:fmt="decimal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258DA9"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-474345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12FC94">
                          <w:pPr>
                            <w:pStyle w:val="5"/>
                            <w:rPr>
                              <w:rFonts w:hint="eastAsia" w:eastAsia="宋体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30"/>
                              <w:szCs w:val="30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7.35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E09GbnWAAAACAEAAA8AAAAAAAAAAQAgAAAAIgAAAGRycy9kb3ducmV2LnhtbFBL&#10;AQIUABQAAAAIAIdO4kAkgka0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12FC94">
                    <w:pPr>
                      <w:pStyle w:val="5"/>
                      <w:rPr>
                        <w:rFonts w:hint="eastAsia" w:eastAsia="宋体"/>
                        <w:lang w:val="en-US"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sz w:val="30"/>
                        <w:szCs w:val="30"/>
                      </w:rPr>
                      <w:t>1</w:t>
                    </w:r>
                    <w:r>
                      <w:rPr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hint="eastAsia"/>
                        <w:sz w:val="30"/>
                        <w:szCs w:val="30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69264F">
                          <w:pPr>
                            <w:rPr>
                              <w:rFonts w:hint="eastAsia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69264F">
                    <w:pPr>
                      <w:rPr>
                        <w:rFonts w:hint="eastAsia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D24A48"/>
    <w:rsid w:val="0AB92811"/>
    <w:rsid w:val="0E581FDA"/>
    <w:rsid w:val="0EFD00D8"/>
    <w:rsid w:val="13286CF2"/>
    <w:rsid w:val="140515E2"/>
    <w:rsid w:val="15874FCA"/>
    <w:rsid w:val="17853E3B"/>
    <w:rsid w:val="23F944BF"/>
    <w:rsid w:val="2DB00265"/>
    <w:rsid w:val="30FC4416"/>
    <w:rsid w:val="314116AA"/>
    <w:rsid w:val="38AA2326"/>
    <w:rsid w:val="38AD5EB5"/>
    <w:rsid w:val="3B7722A3"/>
    <w:rsid w:val="40974DDD"/>
    <w:rsid w:val="4C3F0681"/>
    <w:rsid w:val="50D60016"/>
    <w:rsid w:val="56C71A1E"/>
    <w:rsid w:val="5D90586A"/>
    <w:rsid w:val="5DAB5992"/>
    <w:rsid w:val="5F6A3CA3"/>
    <w:rsid w:val="62E53E9A"/>
    <w:rsid w:val="70E821EC"/>
    <w:rsid w:val="718F3B82"/>
    <w:rsid w:val="72E46BE3"/>
    <w:rsid w:val="76A03A80"/>
    <w:rsid w:val="76F879F4"/>
    <w:rsid w:val="78C20B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snapToGrid w:val="0"/>
      <w:color w:val="000000"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font2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02f696-f51a-49cf-b945-3693e17b79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4696</Words>
  <Characters>4734</Characters>
  <TotalTime>4</TotalTime>
  <ScaleCrop>false</ScaleCrop>
  <LinksUpToDate>false</LinksUpToDate>
  <CharactersWithSpaces>6886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2026-05-12T01:15:00Z</dcterms:created>
  <dc:creator>Apache POI</dc:creator>
  <cp:lastModifiedBy>许你旧时光</cp:lastModifiedBy>
  <cp:lastPrinted>2026-06-22T07:54:00Z</cp:lastPrinted>
  <dcterms:modified xsi:type="dcterms:W3CDTF">2026-07-14T05:10:44Z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eyJoZGlkIjoiZDg4YWNlNTI4NTFkMWIxOTlhMGQ1OTViNDA5ODY2NGMiLCJ1c2VySWQiOiIyNjMzNTA1ODQifQ==</vt:lpwstr>
  </property>
  <property fmtid="{D5CDD505-2E9C-101B-9397-08002B2CF9AE}" pid="3" name="KSOProductBuildVer">
    <vt:lpwstr>2052-12.1.0.25225</vt:lpwstr>
  </property>
  <property fmtid="{D5CDD505-2E9C-101B-9397-08002B2CF9AE}" pid="4" name="ICV">
    <vt:lpwstr>8E9D75AB3C654B5399C5767A8DF1610B_13</vt:lpwstr>
  </property>
</Properties>
</file>